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A3E9" w14:textId="77777777" w:rsidR="000807F0" w:rsidRDefault="00000000" w:rsidP="000C109D">
      <w:pPr>
        <w:pStyle w:val="a3"/>
        <w:spacing w:line="360" w:lineRule="auto"/>
        <w:ind w:firstLineChars="0" w:firstLine="0"/>
        <w:jc w:val="center"/>
        <w:rPr>
          <w:rFonts w:ascii="阿里巴巴普惠体 R" w:eastAsia="阿里巴巴普惠体 R" w:hAnsi="阿里巴巴普惠体 R" w:cs="阿里巴巴普惠体 R"/>
          <w:b/>
          <w:bCs/>
          <w:sz w:val="44"/>
          <w:szCs w:val="44"/>
          <w:lang w:val="en-US"/>
        </w:rPr>
      </w:pPr>
      <w:r w:rsidRPr="000C109D">
        <w:rPr>
          <w:rFonts w:ascii="阿里巴巴普惠体 R" w:eastAsia="阿里巴巴普惠体 R" w:hAnsi="阿里巴巴普惠体 R" w:cs="阿里巴巴普惠体 R" w:hint="eastAsia"/>
          <w:b/>
          <w:bCs/>
          <w:sz w:val="44"/>
          <w:szCs w:val="44"/>
          <w:lang w:val="en-US"/>
        </w:rPr>
        <w:t>财务共享软件参数</w:t>
      </w:r>
    </w:p>
    <w:p w14:paraId="3BA773AA" w14:textId="77777777" w:rsidR="000C109D" w:rsidRPr="000C109D" w:rsidRDefault="000C109D" w:rsidP="000C109D">
      <w:pPr>
        <w:pStyle w:val="a3"/>
        <w:spacing w:line="360" w:lineRule="auto"/>
        <w:ind w:firstLineChars="0" w:firstLine="0"/>
        <w:jc w:val="center"/>
        <w:rPr>
          <w:rFonts w:ascii="阿里巴巴普惠体 R" w:eastAsia="阿里巴巴普惠体 R" w:hAnsi="阿里巴巴普惠体 R" w:cs="阿里巴巴普惠体 R" w:hint="eastAsia"/>
          <w:b/>
          <w:bCs/>
          <w:sz w:val="44"/>
          <w:szCs w:val="44"/>
          <w:lang w:val="en-US"/>
        </w:rPr>
      </w:pPr>
    </w:p>
    <w:p w14:paraId="436F1C14"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rPr>
      </w:pPr>
      <w:r>
        <w:rPr>
          <w:rFonts w:ascii="阿里巴巴普惠体 R" w:eastAsia="阿里巴巴普惠体 R" w:hAnsi="阿里巴巴普惠体 R" w:cs="阿里巴巴普惠体 R" w:hint="eastAsia"/>
          <w:lang w:val="en-US"/>
        </w:rPr>
        <w:t>1.</w:t>
      </w:r>
      <w:r>
        <w:rPr>
          <w:rFonts w:ascii="阿里巴巴普惠体 R" w:eastAsia="阿里巴巴普惠体 R" w:hAnsi="阿里巴巴普惠体 R" w:cs="阿里巴巴普惠体 R" w:hint="eastAsia"/>
        </w:rPr>
        <w:t>系统支持按角色上岗体验不同实训任务，角色应包括业务员、销售经理、采购经理、财务会计、总经理、出纳、共享初审、共享复审等。</w:t>
      </w:r>
    </w:p>
    <w:p w14:paraId="1894FD9D"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szCs w:val="21"/>
        </w:rPr>
      </w:pPr>
      <w:r>
        <w:rPr>
          <w:rFonts w:ascii="阿里巴巴普惠体 R" w:eastAsia="阿里巴巴普惠体 R" w:hAnsi="阿里巴巴普惠体 R" w:cs="阿里巴巴普惠体 R" w:hint="eastAsia"/>
          <w:szCs w:val="21"/>
          <w:lang w:val="en-US"/>
        </w:rPr>
        <w:t>2.</w:t>
      </w:r>
      <w:r>
        <w:rPr>
          <w:rFonts w:ascii="阿里巴巴普惠体 R" w:eastAsia="阿里巴巴普惠体 R" w:hAnsi="阿里巴巴普惠体 R" w:cs="阿里巴巴普惠体 R" w:hint="eastAsia"/>
          <w:szCs w:val="21"/>
        </w:rPr>
        <w:t>系统包含动态建模平台，支持对组织建模、流程建模、共享服务建模、应用发布、用户与角色建模，支持共享服务中心动态组织建模。</w:t>
      </w:r>
    </w:p>
    <w:p w14:paraId="26D23B6A"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w:t>
      </w:r>
      <w:r>
        <w:rPr>
          <w:rFonts w:ascii="阿里巴巴普惠体 R" w:eastAsia="阿里巴巴普惠体 R" w:hAnsi="阿里巴巴普惠体 R" w:cs="阿里巴巴普惠体 R" w:hint="eastAsia"/>
          <w:color w:val="000000" w:themeColor="text1"/>
          <w:szCs w:val="21"/>
        </w:rPr>
        <w:t>会计平台：可以将各业务单据自动转换成总账凭证、责任凭证，支持按不同报告要求建立多个核算账簿、多准则、多币种、国际化等的应用；</w:t>
      </w:r>
    </w:p>
    <w:p w14:paraId="6A3E2101"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w:t>
      </w:r>
      <w:r>
        <w:rPr>
          <w:rFonts w:ascii="阿里巴巴普惠体 R" w:eastAsia="阿里巴巴普惠体 R" w:hAnsi="阿里巴巴普惠体 R" w:cs="阿里巴巴普惠体 R" w:hint="eastAsia"/>
          <w:color w:val="000000" w:themeColor="text1"/>
          <w:szCs w:val="21"/>
        </w:rPr>
        <w:t>课程教学管理平台与业务平台、共享服务平台要实现无缝衔接，实现虚拟化和统一账户接口，单点登录。教学管理平台实现教学任务、理论知识</w:t>
      </w:r>
      <w:proofErr w:type="gramStart"/>
      <w:r>
        <w:rPr>
          <w:rFonts w:ascii="阿里巴巴普惠体 R" w:eastAsia="阿里巴巴普惠体 R" w:hAnsi="阿里巴巴普惠体 R" w:cs="阿里巴巴普惠体 R" w:hint="eastAsia"/>
          <w:color w:val="000000" w:themeColor="text1"/>
          <w:szCs w:val="21"/>
        </w:rPr>
        <w:t>点学习</w:t>
      </w:r>
      <w:proofErr w:type="gramEnd"/>
      <w:r>
        <w:rPr>
          <w:rFonts w:ascii="阿里巴巴普惠体 R" w:eastAsia="阿里巴巴普惠体 R" w:hAnsi="阿里巴巴普惠体 R" w:cs="阿里巴巴普惠体 R" w:hint="eastAsia"/>
          <w:color w:val="000000" w:themeColor="text1"/>
          <w:szCs w:val="21"/>
        </w:rPr>
        <w:t>与企业实际业务应用完美结合。业务平台和共享服务平台采用国内应用最广泛的财务共享服务中心系统，将真实的共享服务搬进课堂；</w:t>
      </w:r>
    </w:p>
    <w:p w14:paraId="6C8518D9"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w:t>
      </w:r>
      <w:r>
        <w:rPr>
          <w:rFonts w:ascii="阿里巴巴普惠体 R" w:eastAsia="阿里巴巴普惠体 R" w:hAnsi="阿里巴巴普惠体 R" w:cs="阿里巴巴普惠体 R" w:hint="eastAsia"/>
          <w:color w:val="000000" w:themeColor="text1"/>
          <w:szCs w:val="21"/>
        </w:rPr>
        <w:t>理实结合：平台提供共享服务中心理论教学与实践教学相结合的综合教学模式，内置丰富的教学场景和案例；</w:t>
      </w:r>
    </w:p>
    <w:p w14:paraId="491735D7"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szCs w:val="21"/>
        </w:rPr>
      </w:pPr>
      <w:r>
        <w:rPr>
          <w:rFonts w:ascii="阿里巴巴普惠体 R" w:eastAsia="阿里巴巴普惠体 R" w:hAnsi="阿里巴巴普惠体 R" w:cs="阿里巴巴普惠体 R" w:hint="eastAsia"/>
          <w:szCs w:val="21"/>
          <w:lang w:val="en-US"/>
        </w:rPr>
        <w:t>6.</w:t>
      </w:r>
      <w:r>
        <w:rPr>
          <w:rFonts w:ascii="阿里巴巴普惠体 R" w:eastAsia="阿里巴巴普惠体 R" w:hAnsi="阿里巴巴普惠体 R" w:cs="阿里巴巴普惠体 R" w:hint="eastAsia"/>
          <w:szCs w:val="21"/>
        </w:rPr>
        <w:t>课程</w:t>
      </w:r>
      <w:r>
        <w:rPr>
          <w:rFonts w:ascii="阿里巴巴普惠体 R" w:eastAsia="阿里巴巴普惠体 R" w:hAnsi="阿里巴巴普惠体 R" w:cs="阿里巴巴普惠体 R" w:hint="eastAsia"/>
          <w:color w:val="000000" w:themeColor="text1"/>
        </w:rPr>
        <w:t>包含</w:t>
      </w:r>
      <w:r>
        <w:rPr>
          <w:rFonts w:ascii="阿里巴巴普惠体 R" w:eastAsia="阿里巴巴普惠体 R" w:hAnsi="阿里巴巴普惠体 R" w:cs="阿里巴巴普惠体 R"/>
          <w:color w:val="000000" w:themeColor="text1"/>
        </w:rPr>
        <w:t>不少于</w:t>
      </w:r>
      <w:r>
        <w:rPr>
          <w:rFonts w:ascii="阿里巴巴普惠体 R" w:eastAsia="阿里巴巴普惠体 R" w:hAnsi="阿里巴巴普惠体 R" w:cs="阿里巴巴普惠体 R" w:hint="eastAsia"/>
          <w:color w:val="000000" w:themeColor="text1"/>
        </w:rPr>
        <w:t>23</w:t>
      </w:r>
      <w:r>
        <w:rPr>
          <w:rFonts w:ascii="阿里巴巴普惠体 R" w:eastAsia="阿里巴巴普惠体 R" w:hAnsi="阿里巴巴普惠体 R" w:cs="阿里巴巴普惠体 R"/>
          <w:color w:val="000000" w:themeColor="text1"/>
        </w:rPr>
        <w:t>个教学项目，</w:t>
      </w:r>
      <w:r>
        <w:rPr>
          <w:rFonts w:ascii="阿里巴巴普惠体 R" w:eastAsia="阿里巴巴普惠体 R" w:hAnsi="阿里巴巴普惠体 R" w:cs="阿里巴巴普惠体 R" w:hint="eastAsia"/>
          <w:color w:val="000000" w:themeColor="text1"/>
        </w:rPr>
        <w:t>240</w:t>
      </w:r>
      <w:r>
        <w:rPr>
          <w:rFonts w:ascii="阿里巴巴普惠体 R" w:eastAsia="阿里巴巴普惠体 R" w:hAnsi="阿里巴巴普惠体 R" w:cs="阿里巴巴普惠体 R"/>
          <w:color w:val="000000" w:themeColor="text1"/>
        </w:rPr>
        <w:t>个学习任务</w:t>
      </w:r>
      <w:r>
        <w:rPr>
          <w:rFonts w:ascii="阿里巴巴普惠体 R" w:eastAsia="阿里巴巴普惠体 R" w:hAnsi="阿里巴巴普惠体 R" w:cs="阿里巴巴普惠体 R" w:hint="eastAsia"/>
          <w:color w:val="000000" w:themeColor="text1"/>
        </w:rPr>
        <w:t>，40</w:t>
      </w:r>
      <w:r>
        <w:rPr>
          <w:rFonts w:ascii="阿里巴巴普惠体 R" w:eastAsia="阿里巴巴普惠体 R" w:hAnsi="阿里巴巴普惠体 R" w:cs="阿里巴巴普惠体 R"/>
          <w:color w:val="000000" w:themeColor="text1"/>
        </w:rPr>
        <w:t>个教学资源</w:t>
      </w:r>
      <w:r>
        <w:rPr>
          <w:rFonts w:ascii="阿里巴巴普惠体 R" w:eastAsia="阿里巴巴普惠体 R" w:hAnsi="阿里巴巴普惠体 R" w:cs="阿里巴巴普惠体 R" w:hint="eastAsia"/>
          <w:color w:val="000000" w:themeColor="text1"/>
        </w:rPr>
        <w:t>；</w:t>
      </w:r>
    </w:p>
    <w:p w14:paraId="1A79606F"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rPr>
      </w:pPr>
      <w:r>
        <w:rPr>
          <w:rFonts w:ascii="阿里巴巴普惠体 R" w:eastAsia="阿里巴巴普惠体 R" w:hAnsi="阿里巴巴普惠体 R" w:cs="阿里巴巴普惠体 R" w:hint="eastAsia"/>
          <w:szCs w:val="21"/>
          <w:lang w:val="en-US"/>
        </w:rPr>
        <w:t>7.</w:t>
      </w:r>
      <w:r>
        <w:rPr>
          <w:rFonts w:ascii="阿里巴巴普惠体 R" w:eastAsia="阿里巴巴普惠体 R" w:hAnsi="阿里巴巴普惠体 R" w:cs="阿里巴巴普惠体 R" w:hint="eastAsia"/>
          <w:szCs w:val="21"/>
        </w:rPr>
        <w:t>课程</w:t>
      </w:r>
      <w:r>
        <w:rPr>
          <w:rFonts w:ascii="阿里巴巴普惠体 R" w:eastAsia="阿里巴巴普惠体 R" w:hAnsi="阿里巴巴普惠体 R" w:cs="阿里巴巴普惠体 R" w:hint="eastAsia"/>
        </w:rPr>
        <w:t>提供课程图谱和能力图谱，可通过知识点或能力</w:t>
      </w:r>
      <w:proofErr w:type="gramStart"/>
      <w:r>
        <w:rPr>
          <w:rFonts w:ascii="阿里巴巴普惠体 R" w:eastAsia="阿里巴巴普惠体 R" w:hAnsi="阿里巴巴普惠体 R" w:cs="阿里巴巴普惠体 R" w:hint="eastAsia"/>
        </w:rPr>
        <w:t>项快速</w:t>
      </w:r>
      <w:proofErr w:type="gramEnd"/>
      <w:r>
        <w:rPr>
          <w:rFonts w:ascii="阿里巴巴普惠体 R" w:eastAsia="阿里巴巴普惠体 R" w:hAnsi="阿里巴巴普惠体 R" w:cs="阿里巴巴普惠体 R" w:hint="eastAsia"/>
        </w:rPr>
        <w:t>打开相关学习资源或实践任务；</w:t>
      </w:r>
    </w:p>
    <w:p w14:paraId="3D75484F"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lang w:val="en-US"/>
        </w:rPr>
        <w:t>8.</w:t>
      </w:r>
      <w:r>
        <w:rPr>
          <w:rFonts w:ascii="阿里巴巴普惠体 R" w:eastAsia="阿里巴巴普惠体 R" w:hAnsi="阿里巴巴普惠体 R" w:cs="阿里巴巴普惠体 R" w:hint="eastAsia"/>
          <w:color w:val="000000" w:themeColor="text1"/>
          <w:szCs w:val="21"/>
        </w:rPr>
        <w:t>财务共享沙盘实现：支持学生将财务共享服务中心规划设计在教学沙盘上演练实战，并可将最终设计方案在信息系统中实现；</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9.</w:t>
      </w:r>
      <w:r>
        <w:rPr>
          <w:rFonts w:ascii="阿里巴巴普惠体 R" w:eastAsia="阿里巴巴普惠体 R" w:hAnsi="阿里巴巴普惠体 R" w:cs="阿里巴巴普惠体 R"/>
          <w:color w:val="000000" w:themeColor="text1"/>
          <w:szCs w:val="21"/>
        </w:rPr>
        <w:t>实训组织形式：</w:t>
      </w:r>
      <w:r>
        <w:rPr>
          <w:rFonts w:ascii="阿里巴巴普惠体 R" w:eastAsia="阿里巴巴普惠体 R" w:hAnsi="阿里巴巴普惠体 R" w:cs="阿里巴巴普惠体 R" w:hint="eastAsia"/>
          <w:color w:val="000000" w:themeColor="text1"/>
          <w:szCs w:val="21"/>
        </w:rPr>
        <w:t>支持</w:t>
      </w:r>
      <w:r>
        <w:rPr>
          <w:rFonts w:ascii="阿里巴巴普惠体 R" w:eastAsia="阿里巴巴普惠体 R" w:hAnsi="阿里巴巴普惠体 R" w:cs="阿里巴巴普惠体 R"/>
          <w:color w:val="000000" w:themeColor="text1"/>
          <w:szCs w:val="21"/>
        </w:rPr>
        <w:t>学生分组、</w:t>
      </w:r>
      <w:r>
        <w:rPr>
          <w:rFonts w:ascii="阿里巴巴普惠体 R" w:eastAsia="阿里巴巴普惠体 R" w:hAnsi="阿里巴巴普惠体 R" w:cs="阿里巴巴普惠体 R" w:hint="eastAsia"/>
          <w:color w:val="000000" w:themeColor="text1"/>
          <w:szCs w:val="21"/>
        </w:rPr>
        <w:t>分角色</w:t>
      </w:r>
      <w:r>
        <w:rPr>
          <w:rFonts w:ascii="阿里巴巴普惠体 R" w:eastAsia="阿里巴巴普惠体 R" w:hAnsi="阿里巴巴普惠体 R" w:cs="阿里巴巴普惠体 R"/>
          <w:color w:val="000000" w:themeColor="text1"/>
          <w:szCs w:val="21"/>
        </w:rPr>
        <w:t>实训，</w:t>
      </w:r>
      <w:r>
        <w:rPr>
          <w:rFonts w:ascii="阿里巴巴普惠体 R" w:eastAsia="阿里巴巴普惠体 R" w:hAnsi="阿里巴巴普惠体 R" w:cs="阿里巴巴普惠体 R" w:hint="eastAsia"/>
          <w:color w:val="000000" w:themeColor="text1"/>
          <w:szCs w:val="21"/>
        </w:rPr>
        <w:t>老师</w:t>
      </w:r>
      <w:r>
        <w:rPr>
          <w:rFonts w:ascii="阿里巴巴普惠体 R" w:eastAsia="阿里巴巴普惠体 R" w:hAnsi="阿里巴巴普惠体 R" w:cs="阿里巴巴普惠体 R"/>
          <w:color w:val="000000" w:themeColor="text1"/>
          <w:szCs w:val="21"/>
        </w:rPr>
        <w:t>分组指导；</w:t>
      </w:r>
    </w:p>
    <w:p w14:paraId="5763CB33"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10.</w:t>
      </w:r>
      <w:r>
        <w:rPr>
          <w:rFonts w:ascii="阿里巴巴普惠体 R" w:eastAsia="阿里巴巴普惠体 R" w:hAnsi="阿里巴巴普惠体 R" w:cs="阿里巴巴普惠体 R" w:hint="eastAsia"/>
          <w:color w:val="000000" w:themeColor="text1"/>
          <w:szCs w:val="21"/>
        </w:rPr>
        <w:t>实训案例</w:t>
      </w:r>
      <w:r>
        <w:rPr>
          <w:rFonts w:ascii="阿里巴巴普惠体 R" w:eastAsia="阿里巴巴普惠体 R" w:hAnsi="阿里巴巴普惠体 R" w:cs="阿里巴巴普惠体 R"/>
          <w:color w:val="000000" w:themeColor="text1"/>
          <w:szCs w:val="21"/>
        </w:rPr>
        <w:t>：课程</w:t>
      </w:r>
      <w:r>
        <w:rPr>
          <w:rFonts w:ascii="阿里巴巴普惠体 R" w:eastAsia="阿里巴巴普惠体 R" w:hAnsi="阿里巴巴普惠体 R" w:cs="阿里巴巴普惠体 R" w:hint="eastAsia"/>
          <w:color w:val="000000" w:themeColor="text1"/>
          <w:szCs w:val="21"/>
        </w:rPr>
        <w:t>提供基于真实企业</w:t>
      </w:r>
      <w:r>
        <w:rPr>
          <w:rFonts w:ascii="阿里巴巴普惠体 R" w:eastAsia="阿里巴巴普惠体 R" w:hAnsi="阿里巴巴普惠体 R" w:cs="阿里巴巴普惠体 R"/>
          <w:color w:val="000000" w:themeColor="text1"/>
          <w:szCs w:val="21"/>
        </w:rPr>
        <w:t>实践开发</w:t>
      </w:r>
      <w:r>
        <w:rPr>
          <w:rFonts w:ascii="阿里巴巴普惠体 R" w:eastAsia="阿里巴巴普惠体 R" w:hAnsi="阿里巴巴普惠体 R" w:cs="阿里巴巴普惠体 R" w:hint="eastAsia"/>
          <w:color w:val="000000" w:themeColor="text1"/>
          <w:szCs w:val="21"/>
        </w:rPr>
        <w:t>设计的</w:t>
      </w:r>
      <w:r>
        <w:rPr>
          <w:rFonts w:ascii="阿里巴巴普惠体 R" w:eastAsia="阿里巴巴普惠体 R" w:hAnsi="阿里巴巴普惠体 R" w:cs="阿里巴巴普惠体 R"/>
          <w:color w:val="000000" w:themeColor="text1"/>
          <w:szCs w:val="21"/>
        </w:rPr>
        <w:t>案例</w:t>
      </w:r>
      <w:r>
        <w:rPr>
          <w:rFonts w:ascii="阿里巴巴普惠体 R" w:eastAsia="阿里巴巴普惠体 R" w:hAnsi="阿里巴巴普惠体 R" w:cs="阿里巴巴普惠体 R" w:hint="eastAsia"/>
          <w:color w:val="000000" w:themeColor="text1"/>
          <w:szCs w:val="21"/>
        </w:rPr>
        <w:t>背景，符合集团企业</w:t>
      </w:r>
      <w:r>
        <w:rPr>
          <w:rFonts w:ascii="阿里巴巴普惠体 R" w:eastAsia="阿里巴巴普惠体 R" w:hAnsi="阿里巴巴普惠体 R" w:cs="阿里巴巴普惠体 R"/>
          <w:color w:val="000000" w:themeColor="text1"/>
          <w:szCs w:val="21"/>
        </w:rPr>
        <w:t>财务</w:t>
      </w:r>
      <w:r>
        <w:rPr>
          <w:rFonts w:ascii="阿里巴巴普惠体 R" w:eastAsia="阿里巴巴普惠体 R" w:hAnsi="阿里巴巴普惠体 R" w:cs="阿里巴巴普惠体 R" w:hint="eastAsia"/>
          <w:color w:val="000000" w:themeColor="text1"/>
          <w:szCs w:val="21"/>
        </w:rPr>
        <w:t>共享服务中心建设真实情境，学生通过沙盘</w:t>
      </w:r>
      <w:r>
        <w:rPr>
          <w:rFonts w:ascii="阿里巴巴普惠体 R" w:eastAsia="阿里巴巴普惠体 R" w:hAnsi="阿里巴巴普惠体 R" w:cs="阿里巴巴普惠体 R"/>
          <w:color w:val="000000" w:themeColor="text1"/>
          <w:szCs w:val="21"/>
        </w:rPr>
        <w:t>运营推演，</w:t>
      </w:r>
      <w:r>
        <w:rPr>
          <w:rFonts w:ascii="阿里巴巴普惠体 R" w:eastAsia="阿里巴巴普惠体 R" w:hAnsi="阿里巴巴普惠体 R" w:cs="阿里巴巴普惠体 R" w:hint="eastAsia"/>
          <w:color w:val="000000" w:themeColor="text1"/>
          <w:szCs w:val="21"/>
        </w:rPr>
        <w:t>感知真实企业财务共享服务中心建设过程。</w:t>
      </w:r>
      <w:r>
        <w:rPr>
          <w:rFonts w:ascii="阿里巴巴普惠体 R" w:eastAsia="阿里巴巴普惠体 R" w:hAnsi="阿里巴巴普惠体 R" w:cs="阿里巴巴普惠体 R"/>
          <w:color w:val="000000" w:themeColor="text1"/>
          <w:szCs w:val="21"/>
        </w:rPr>
        <w:t>同时，</w:t>
      </w:r>
      <w:r>
        <w:rPr>
          <w:rFonts w:ascii="阿里巴巴普惠体 R" w:eastAsia="阿里巴巴普惠体 R" w:hAnsi="阿里巴巴普惠体 R" w:cs="阿里巴巴普惠体 R" w:hint="eastAsia"/>
          <w:color w:val="000000" w:themeColor="text1"/>
          <w:szCs w:val="21"/>
        </w:rPr>
        <w:t>课程中的案例源于数字化转型中的真实企业</w:t>
      </w:r>
      <w:r>
        <w:rPr>
          <w:rFonts w:ascii="阿里巴巴普惠体 R" w:eastAsia="阿里巴巴普惠体 R" w:hAnsi="阿里巴巴普惠体 R" w:cs="阿里巴巴普惠体 R"/>
          <w:color w:val="000000" w:themeColor="text1"/>
          <w:szCs w:val="21"/>
        </w:rPr>
        <w:t>，帮助学生认知财务共享服务中心建设的关键要素及意义价值</w:t>
      </w:r>
      <w:r>
        <w:rPr>
          <w:rFonts w:ascii="阿里巴巴普惠体 R" w:eastAsia="阿里巴巴普惠体 R" w:hAnsi="阿里巴巴普惠体 R" w:cs="阿里巴巴普惠体 R" w:hint="eastAsia"/>
          <w:color w:val="000000" w:themeColor="text1"/>
          <w:szCs w:val="21"/>
        </w:rPr>
        <w:t>；</w:t>
      </w:r>
    </w:p>
    <w:p w14:paraId="2A774ED4"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11.</w:t>
      </w:r>
      <w:r>
        <w:rPr>
          <w:rFonts w:ascii="阿里巴巴普惠体 R" w:eastAsia="阿里巴巴普惠体 R" w:hAnsi="阿里巴巴普惠体 R" w:cs="阿里巴巴普惠体 R"/>
          <w:color w:val="000000" w:themeColor="text1"/>
          <w:szCs w:val="21"/>
        </w:rPr>
        <w:t>介质：</w:t>
      </w:r>
      <w:r>
        <w:rPr>
          <w:rFonts w:ascii="阿里巴巴普惠体 R" w:eastAsia="阿里巴巴普惠体 R" w:hAnsi="阿里巴巴普惠体 R" w:cs="阿里巴巴普惠体 R" w:hint="eastAsia"/>
          <w:color w:val="000000" w:themeColor="text1"/>
          <w:szCs w:val="21"/>
        </w:rPr>
        <w:t>提供模拟企业财务共享中心</w:t>
      </w:r>
      <w:r>
        <w:rPr>
          <w:rFonts w:ascii="阿里巴巴普惠体 R" w:eastAsia="阿里巴巴普惠体 R" w:hAnsi="阿里巴巴普惠体 R" w:cs="阿里巴巴普惠体 R"/>
          <w:color w:val="000000" w:themeColor="text1"/>
          <w:szCs w:val="21"/>
        </w:rPr>
        <w:t>规划</w:t>
      </w:r>
      <w:r>
        <w:rPr>
          <w:rFonts w:ascii="阿里巴巴普惠体 R" w:eastAsia="阿里巴巴普惠体 R" w:hAnsi="阿里巴巴普惠体 R" w:cs="阿里巴巴普惠体 R" w:hint="eastAsia"/>
          <w:color w:val="000000" w:themeColor="text1"/>
          <w:szCs w:val="21"/>
        </w:rPr>
        <w:t>建设的物理介质平台及辅助教具，物理介质</w:t>
      </w:r>
      <w:r>
        <w:rPr>
          <w:rFonts w:ascii="阿里巴巴普惠体 R" w:eastAsia="阿里巴巴普惠体 R" w:hAnsi="阿里巴巴普惠体 R" w:cs="阿里巴巴普惠体 R"/>
          <w:color w:val="000000" w:themeColor="text1"/>
          <w:szCs w:val="21"/>
        </w:rPr>
        <w:t>沙盘</w:t>
      </w:r>
      <w:r>
        <w:rPr>
          <w:rFonts w:ascii="阿里巴巴普惠体 R" w:eastAsia="阿里巴巴普惠体 R" w:hAnsi="阿里巴巴普惠体 R" w:cs="阿里巴巴普惠体 R" w:hint="eastAsia"/>
          <w:color w:val="000000" w:themeColor="text1"/>
          <w:szCs w:val="21"/>
        </w:rPr>
        <w:t>支持</w:t>
      </w:r>
      <w:r>
        <w:rPr>
          <w:rFonts w:ascii="阿里巴巴普惠体 R" w:eastAsia="阿里巴巴普惠体 R" w:hAnsi="阿里巴巴普惠体 R" w:cs="阿里巴巴普惠体 R"/>
          <w:color w:val="000000" w:themeColor="text1"/>
          <w:szCs w:val="21"/>
        </w:rPr>
        <w:t>挂盘、</w:t>
      </w:r>
      <w:r>
        <w:rPr>
          <w:rFonts w:ascii="阿里巴巴普惠体 R" w:eastAsia="阿里巴巴普惠体 R" w:hAnsi="阿里巴巴普惠体 R" w:cs="阿里巴巴普惠体 R" w:hint="eastAsia"/>
          <w:color w:val="000000" w:themeColor="text1"/>
          <w:szCs w:val="21"/>
        </w:rPr>
        <w:t>摆盘</w:t>
      </w:r>
      <w:r>
        <w:rPr>
          <w:rFonts w:ascii="阿里巴巴普惠体 R" w:eastAsia="阿里巴巴普惠体 R" w:hAnsi="阿里巴巴普惠体 R" w:cs="阿里巴巴普惠体 R"/>
          <w:color w:val="000000" w:themeColor="text1"/>
          <w:szCs w:val="21"/>
        </w:rPr>
        <w:t>两种教学方式</w:t>
      </w:r>
      <w:r>
        <w:rPr>
          <w:rFonts w:ascii="阿里巴巴普惠体 R" w:eastAsia="阿里巴巴普惠体 R" w:hAnsi="阿里巴巴普惠体 R" w:cs="阿里巴巴普惠体 R" w:hint="eastAsia"/>
          <w:color w:val="000000" w:themeColor="text1"/>
          <w:szCs w:val="21"/>
        </w:rPr>
        <w:t>，辅助教具不少于2</w:t>
      </w:r>
      <w:r>
        <w:rPr>
          <w:rFonts w:ascii="阿里巴巴普惠体 R" w:eastAsia="阿里巴巴普惠体 R" w:hAnsi="阿里巴巴普惠体 R" w:cs="阿里巴巴普惠体 R"/>
          <w:color w:val="000000" w:themeColor="text1"/>
          <w:szCs w:val="21"/>
        </w:rPr>
        <w:t>7</w:t>
      </w:r>
      <w:r>
        <w:rPr>
          <w:rFonts w:ascii="阿里巴巴普惠体 R" w:eastAsia="阿里巴巴普惠体 R" w:hAnsi="阿里巴巴普惠体 R" w:cs="阿里巴巴普惠体 R" w:hint="eastAsia"/>
          <w:color w:val="000000" w:themeColor="text1"/>
          <w:szCs w:val="21"/>
        </w:rPr>
        <w:t>0个；可与电子沙盘结合进行实训和竞赛练习；</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12.</w:t>
      </w:r>
      <w:r>
        <w:rPr>
          <w:rFonts w:ascii="阿里巴巴普惠体 R" w:eastAsia="阿里巴巴普惠体 R" w:hAnsi="阿里巴巴普惠体 R" w:cs="阿里巴巴普惠体 R"/>
          <w:color w:val="000000" w:themeColor="text1"/>
          <w:szCs w:val="21"/>
        </w:rPr>
        <w:t>规格：</w:t>
      </w:r>
      <w:r>
        <w:rPr>
          <w:rFonts w:ascii="阿里巴巴普惠体 R" w:eastAsia="阿里巴巴普惠体 R" w:hAnsi="阿里巴巴普惠体 R" w:cs="阿里巴巴普惠体 R" w:hint="eastAsia"/>
          <w:color w:val="000000" w:themeColor="text1"/>
          <w:szCs w:val="21"/>
        </w:rPr>
        <w:t>沙盘</w:t>
      </w:r>
      <w:proofErr w:type="gramStart"/>
      <w:r>
        <w:rPr>
          <w:rFonts w:ascii="阿里巴巴普惠体 R" w:eastAsia="阿里巴巴普惠体 R" w:hAnsi="阿里巴巴普惠体 R" w:cs="阿里巴巴普惠体 R" w:hint="eastAsia"/>
          <w:color w:val="000000" w:themeColor="text1"/>
          <w:szCs w:val="21"/>
        </w:rPr>
        <w:t>盘</w:t>
      </w:r>
      <w:proofErr w:type="gramEnd"/>
      <w:r>
        <w:rPr>
          <w:rFonts w:ascii="阿里巴巴普惠体 R" w:eastAsia="阿里巴巴普惠体 R" w:hAnsi="阿里巴巴普惠体 R" w:cs="阿里巴巴普惠体 R" w:hint="eastAsia"/>
          <w:color w:val="000000" w:themeColor="text1"/>
          <w:szCs w:val="21"/>
        </w:rPr>
        <w:t>面实物规格</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盘面不少于14</w:t>
      </w:r>
      <w:r>
        <w:rPr>
          <w:rFonts w:ascii="阿里巴巴普惠体 R" w:eastAsia="阿里巴巴普惠体 R" w:hAnsi="阿里巴巴普惠体 R" w:cs="阿里巴巴普惠体 R"/>
          <w:color w:val="000000" w:themeColor="text1"/>
          <w:szCs w:val="21"/>
        </w:rPr>
        <w:t>5</w:t>
      </w:r>
      <w:r>
        <w:rPr>
          <w:rFonts w:ascii="阿里巴巴普惠体 R" w:eastAsia="阿里巴巴普惠体 R" w:hAnsi="阿里巴巴普惠体 R" w:cs="阿里巴巴普惠体 R" w:hint="eastAsia"/>
          <w:color w:val="000000" w:themeColor="text1"/>
          <w:szCs w:val="21"/>
        </w:rPr>
        <w:t>0mm×</w:t>
      </w:r>
      <w:r>
        <w:rPr>
          <w:rFonts w:ascii="阿里巴巴普惠体 R" w:eastAsia="阿里巴巴普惠体 R" w:hAnsi="阿里巴巴普惠体 R" w:cs="阿里巴巴普惠体 R"/>
          <w:color w:val="000000" w:themeColor="text1"/>
          <w:szCs w:val="21"/>
        </w:rPr>
        <w:t>85</w:t>
      </w:r>
      <w:r>
        <w:rPr>
          <w:rFonts w:ascii="阿里巴巴普惠体 R" w:eastAsia="阿里巴巴普惠体 R" w:hAnsi="阿里巴巴普惠体 R" w:cs="阿里巴巴普惠体 R" w:hint="eastAsia"/>
          <w:color w:val="000000" w:themeColor="text1"/>
          <w:szCs w:val="21"/>
        </w:rPr>
        <w:t>0mm；</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13.</w:t>
      </w:r>
      <w:r>
        <w:rPr>
          <w:rFonts w:ascii="阿里巴巴普惠体 R" w:eastAsia="阿里巴巴普惠体 R" w:hAnsi="阿里巴巴普惠体 R" w:cs="阿里巴巴普惠体 R"/>
          <w:color w:val="000000" w:themeColor="text1"/>
          <w:szCs w:val="21"/>
        </w:rPr>
        <w:t>内容：</w:t>
      </w:r>
      <w:r>
        <w:rPr>
          <w:rFonts w:ascii="阿里巴巴普惠体 R" w:eastAsia="阿里巴巴普惠体 R" w:hAnsi="阿里巴巴普惠体 R" w:cs="阿里巴巴普惠体 R" w:hint="eastAsia"/>
          <w:color w:val="000000" w:themeColor="text1"/>
          <w:szCs w:val="21"/>
        </w:rPr>
        <w:t>模拟集团企业财务共享服务中心</w:t>
      </w:r>
      <w:r>
        <w:rPr>
          <w:rFonts w:ascii="阿里巴巴普惠体 R" w:eastAsia="阿里巴巴普惠体 R" w:hAnsi="阿里巴巴普惠体 R" w:cs="阿里巴巴普惠体 R"/>
          <w:color w:val="000000" w:themeColor="text1"/>
          <w:szCs w:val="21"/>
        </w:rPr>
        <w:t>建设</w:t>
      </w:r>
      <w:r>
        <w:rPr>
          <w:rFonts w:ascii="阿里巴巴普惠体 R" w:eastAsia="阿里巴巴普惠体 R" w:hAnsi="阿里巴巴普惠体 R" w:cs="阿里巴巴普惠体 R" w:hint="eastAsia"/>
          <w:color w:val="000000" w:themeColor="text1"/>
          <w:szCs w:val="21"/>
        </w:rPr>
        <w:t>过程</w:t>
      </w:r>
      <w:r>
        <w:rPr>
          <w:rFonts w:ascii="阿里巴巴普惠体 R" w:eastAsia="阿里巴巴普惠体 R" w:hAnsi="阿里巴巴普惠体 R" w:cs="阿里巴巴普惠体 R"/>
          <w:color w:val="000000" w:themeColor="text1"/>
          <w:szCs w:val="21"/>
        </w:rPr>
        <w:t>中高阶规划设计全过程，</w:t>
      </w:r>
      <w:r>
        <w:rPr>
          <w:rFonts w:ascii="阿里巴巴普惠体 R" w:eastAsia="阿里巴巴普惠体 R" w:hAnsi="阿里巴巴普惠体 R" w:cs="阿里巴巴普惠体 R" w:hint="eastAsia"/>
          <w:color w:val="000000" w:themeColor="text1"/>
          <w:szCs w:val="21"/>
        </w:rPr>
        <w:t>支</w:t>
      </w:r>
      <w:r>
        <w:rPr>
          <w:rFonts w:ascii="阿里巴巴普惠体 R" w:eastAsia="阿里巴巴普惠体 R" w:hAnsi="阿里巴巴普惠体 R" w:cs="阿里巴巴普惠体 R" w:hint="eastAsia"/>
          <w:color w:val="000000" w:themeColor="text1"/>
          <w:szCs w:val="21"/>
        </w:rPr>
        <w:lastRenderedPageBreak/>
        <w:t>持</w:t>
      </w:r>
      <w:r>
        <w:rPr>
          <w:rFonts w:ascii="阿里巴巴普惠体 R" w:eastAsia="阿里巴巴普惠体 R" w:hAnsi="阿里巴巴普惠体 R" w:cs="阿里巴巴普惠体 R"/>
          <w:color w:val="000000" w:themeColor="text1"/>
          <w:szCs w:val="21"/>
        </w:rPr>
        <w:t>推演设计，</w:t>
      </w:r>
      <w:r>
        <w:rPr>
          <w:rFonts w:ascii="阿里巴巴普惠体 R" w:eastAsia="阿里巴巴普惠体 R" w:hAnsi="阿里巴巴普惠体 R" w:cs="阿里巴巴普惠体 R" w:hint="eastAsia"/>
          <w:color w:val="000000" w:themeColor="text1"/>
          <w:szCs w:val="21"/>
        </w:rPr>
        <w:t>具体内容</w:t>
      </w:r>
      <w:r>
        <w:rPr>
          <w:rFonts w:ascii="阿里巴巴普惠体 R" w:eastAsia="阿里巴巴普惠体 R" w:hAnsi="阿里巴巴普惠体 R" w:cs="阿里巴巴普惠体 R"/>
          <w:color w:val="000000" w:themeColor="text1"/>
          <w:szCs w:val="21"/>
        </w:rPr>
        <w:t>有：</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14.</w:t>
      </w:r>
      <w:r>
        <w:rPr>
          <w:rFonts w:ascii="阿里巴巴普惠体 R" w:eastAsia="阿里巴巴普惠体 R" w:hAnsi="阿里巴巴普惠体 R" w:cs="阿里巴巴普惠体 R"/>
          <w:color w:val="000000" w:themeColor="text1"/>
          <w:szCs w:val="21"/>
        </w:rPr>
        <w:t>以</w:t>
      </w:r>
      <w:r>
        <w:rPr>
          <w:rFonts w:ascii="阿里巴巴普惠体 R" w:eastAsia="阿里巴巴普惠体 R" w:hAnsi="阿里巴巴普惠体 R" w:cs="阿里巴巴普惠体 R" w:hint="eastAsia"/>
          <w:color w:val="000000" w:themeColor="text1"/>
          <w:szCs w:val="21"/>
        </w:rPr>
        <w:t>某大型</w:t>
      </w:r>
      <w:r>
        <w:rPr>
          <w:rFonts w:ascii="阿里巴巴普惠体 R" w:eastAsia="阿里巴巴普惠体 R" w:hAnsi="阿里巴巴普惠体 R" w:cs="阿里巴巴普惠体 R"/>
          <w:color w:val="000000" w:themeColor="text1"/>
          <w:szCs w:val="21"/>
        </w:rPr>
        <w:t>公司财务共享建设方法论为</w:t>
      </w:r>
      <w:r>
        <w:rPr>
          <w:rFonts w:ascii="阿里巴巴普惠体 R" w:eastAsia="阿里巴巴普惠体 R" w:hAnsi="阿里巴巴普惠体 R" w:cs="阿里巴巴普惠体 R" w:hint="eastAsia"/>
          <w:color w:val="000000" w:themeColor="text1"/>
          <w:szCs w:val="21"/>
        </w:rPr>
        <w:t>模型</w:t>
      </w:r>
      <w:r>
        <w:rPr>
          <w:rFonts w:ascii="阿里巴巴普惠体 R" w:eastAsia="阿里巴巴普惠体 R" w:hAnsi="阿里巴巴普惠体 R" w:cs="阿里巴巴普惠体 R"/>
          <w:color w:val="000000" w:themeColor="text1"/>
          <w:szCs w:val="21"/>
        </w:rPr>
        <w:t>依据，</w:t>
      </w:r>
      <w:r>
        <w:rPr>
          <w:rFonts w:ascii="阿里巴巴普惠体 R" w:eastAsia="阿里巴巴普惠体 R" w:hAnsi="阿里巴巴普惠体 R" w:cs="阿里巴巴普惠体 R" w:hint="eastAsia"/>
          <w:color w:val="000000" w:themeColor="text1"/>
          <w:szCs w:val="21"/>
        </w:rPr>
        <w:t>支持</w:t>
      </w:r>
      <w:r>
        <w:rPr>
          <w:rFonts w:ascii="阿里巴巴普惠体 R" w:eastAsia="阿里巴巴普惠体 R" w:hAnsi="阿里巴巴普惠体 R" w:cs="阿里巴巴普惠体 R"/>
          <w:color w:val="000000" w:themeColor="text1"/>
          <w:szCs w:val="21"/>
        </w:rPr>
        <w:t>学生完成</w:t>
      </w:r>
      <w:r>
        <w:rPr>
          <w:rFonts w:ascii="阿里巴巴普惠体 R" w:eastAsia="阿里巴巴普惠体 R" w:hAnsi="阿里巴巴普惠体 R" w:cs="阿里巴巴普惠体 R" w:hint="eastAsia"/>
          <w:color w:val="000000" w:themeColor="text1"/>
          <w:szCs w:val="21"/>
        </w:rPr>
        <w:t>财务共享服务中心建设</w:t>
      </w:r>
      <w:r>
        <w:rPr>
          <w:rFonts w:ascii="阿里巴巴普惠体 R" w:eastAsia="阿里巴巴普惠体 R" w:hAnsi="阿里巴巴普惠体 R" w:cs="阿里巴巴普惠体 R"/>
          <w:color w:val="000000" w:themeColor="text1"/>
          <w:szCs w:val="21"/>
        </w:rPr>
        <w:t>高阶规划</w:t>
      </w:r>
      <w:r>
        <w:rPr>
          <w:rFonts w:ascii="阿里巴巴普惠体 R" w:eastAsia="阿里巴巴普惠体 R" w:hAnsi="阿里巴巴普惠体 R" w:cs="阿里巴巴普惠体 R" w:hint="eastAsia"/>
          <w:color w:val="000000" w:themeColor="text1"/>
          <w:szCs w:val="21"/>
        </w:rPr>
        <w:t>核心</w:t>
      </w:r>
      <w:r>
        <w:rPr>
          <w:rFonts w:ascii="阿里巴巴普惠体 R" w:eastAsia="阿里巴巴普惠体 R" w:hAnsi="阿里巴巴普惠体 R" w:cs="阿里巴巴普惠体 R"/>
          <w:color w:val="000000" w:themeColor="text1"/>
          <w:szCs w:val="21"/>
        </w:rPr>
        <w:t>要素规划不少于</w:t>
      </w:r>
      <w:r>
        <w:rPr>
          <w:rFonts w:ascii="阿里巴巴普惠体 R" w:eastAsia="阿里巴巴普惠体 R" w:hAnsi="阿里巴巴普惠体 R" w:cs="阿里巴巴普惠体 R" w:hint="eastAsia"/>
          <w:color w:val="000000" w:themeColor="text1"/>
          <w:szCs w:val="21"/>
        </w:rPr>
        <w:t>5种，包括但不限于：战略定位、</w:t>
      </w:r>
      <w:r>
        <w:rPr>
          <w:rFonts w:ascii="阿里巴巴普惠体 R" w:eastAsia="阿里巴巴普惠体 R" w:hAnsi="阿里巴巴普惠体 R" w:cs="阿里巴巴普惠体 R"/>
          <w:color w:val="000000" w:themeColor="text1"/>
          <w:szCs w:val="21"/>
        </w:rPr>
        <w:t>模式设计、</w:t>
      </w:r>
      <w:r>
        <w:rPr>
          <w:rFonts w:ascii="阿里巴巴普惠体 R" w:eastAsia="阿里巴巴普惠体 R" w:hAnsi="阿里巴巴普惠体 R" w:cs="阿里巴巴普惠体 R" w:hint="eastAsia"/>
          <w:color w:val="000000" w:themeColor="text1"/>
          <w:szCs w:val="21"/>
        </w:rPr>
        <w:t>选址</w:t>
      </w:r>
      <w:r>
        <w:rPr>
          <w:rFonts w:ascii="阿里巴巴普惠体 R" w:eastAsia="阿里巴巴普惠体 R" w:hAnsi="阿里巴巴普惠体 R" w:cs="阿里巴巴普惠体 R"/>
          <w:color w:val="000000" w:themeColor="text1"/>
          <w:szCs w:val="21"/>
        </w:rPr>
        <w:t>设计、组织</w:t>
      </w:r>
      <w:r>
        <w:rPr>
          <w:rFonts w:ascii="阿里巴巴普惠体 R" w:eastAsia="阿里巴巴普惠体 R" w:hAnsi="阿里巴巴普惠体 R" w:cs="阿里巴巴普惠体 R" w:hint="eastAsia"/>
          <w:color w:val="000000" w:themeColor="text1"/>
          <w:szCs w:val="21"/>
        </w:rPr>
        <w:t>设计、</w:t>
      </w:r>
      <w:r>
        <w:rPr>
          <w:rFonts w:ascii="阿里巴巴普惠体 R" w:eastAsia="阿里巴巴普惠体 R" w:hAnsi="阿里巴巴普惠体 R" w:cs="阿里巴巴普惠体 R"/>
          <w:color w:val="000000" w:themeColor="text1"/>
          <w:szCs w:val="21"/>
        </w:rPr>
        <w:t>流程设计、</w:t>
      </w:r>
      <w:r>
        <w:rPr>
          <w:rFonts w:ascii="阿里巴巴普惠体 R" w:eastAsia="阿里巴巴普惠体 R" w:hAnsi="阿里巴巴普惠体 R" w:cs="阿里巴巴普惠体 R" w:hint="eastAsia"/>
          <w:color w:val="000000" w:themeColor="text1"/>
          <w:szCs w:val="21"/>
        </w:rPr>
        <w:t>信息平台等；</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15.</w:t>
      </w:r>
      <w:r>
        <w:rPr>
          <w:rFonts w:ascii="阿里巴巴普惠体 R" w:eastAsia="阿里巴巴普惠体 R" w:hAnsi="阿里巴巴普惠体 R" w:cs="阿里巴巴普惠体 R"/>
          <w:color w:val="000000" w:themeColor="text1"/>
          <w:szCs w:val="21"/>
        </w:rPr>
        <w:t>沙盘具有开放性及灵活性，</w:t>
      </w:r>
      <w:r>
        <w:rPr>
          <w:rFonts w:ascii="阿里巴巴普惠体 R" w:eastAsia="阿里巴巴普惠体 R" w:hAnsi="阿里巴巴普惠体 R" w:cs="阿里巴巴普惠体 R" w:hint="eastAsia"/>
          <w:color w:val="000000" w:themeColor="text1"/>
          <w:szCs w:val="21"/>
        </w:rPr>
        <w:t>支持</w:t>
      </w:r>
      <w:r>
        <w:rPr>
          <w:rFonts w:ascii="阿里巴巴普惠体 R" w:eastAsia="阿里巴巴普惠体 R" w:hAnsi="阿里巴巴普惠体 R" w:cs="阿里巴巴普惠体 R"/>
          <w:color w:val="000000" w:themeColor="text1"/>
          <w:szCs w:val="21"/>
        </w:rPr>
        <w:t>财务共享</w:t>
      </w:r>
      <w:r>
        <w:rPr>
          <w:rFonts w:ascii="阿里巴巴普惠体 R" w:eastAsia="阿里巴巴普惠体 R" w:hAnsi="阿里巴巴普惠体 R" w:cs="阿里巴巴普惠体 R" w:hint="eastAsia"/>
          <w:color w:val="000000" w:themeColor="text1"/>
          <w:szCs w:val="21"/>
        </w:rPr>
        <w:t>服务</w:t>
      </w:r>
      <w:r>
        <w:rPr>
          <w:rFonts w:ascii="阿里巴巴普惠体 R" w:eastAsia="阿里巴巴普惠体 R" w:hAnsi="阿里巴巴普惠体 R" w:cs="阿里巴巴普惠体 R"/>
          <w:color w:val="000000" w:themeColor="text1"/>
          <w:szCs w:val="21"/>
        </w:rPr>
        <w:t>中心</w:t>
      </w:r>
      <w:r>
        <w:rPr>
          <w:rFonts w:ascii="阿里巴巴普惠体 R" w:eastAsia="阿里巴巴普惠体 R" w:hAnsi="阿里巴巴普惠体 R" w:cs="阿里巴巴普惠体 R" w:hint="eastAsia"/>
          <w:color w:val="000000" w:themeColor="text1"/>
          <w:szCs w:val="21"/>
        </w:rPr>
        <w:t>多种</w:t>
      </w:r>
      <w:r>
        <w:rPr>
          <w:rFonts w:ascii="阿里巴巴普惠体 R" w:eastAsia="阿里巴巴普惠体 R" w:hAnsi="阿里巴巴普惠体 R" w:cs="阿里巴巴普惠体 R"/>
          <w:color w:val="000000" w:themeColor="text1"/>
          <w:szCs w:val="21"/>
        </w:rPr>
        <w:t>规划设计，在模式设计中</w:t>
      </w:r>
      <w:r>
        <w:rPr>
          <w:rFonts w:ascii="阿里巴巴普惠体 R" w:eastAsia="阿里巴巴普惠体 R" w:hAnsi="阿里巴巴普惠体 R" w:cs="阿里巴巴普惠体 R" w:hint="eastAsia"/>
          <w:color w:val="000000" w:themeColor="text1"/>
          <w:szCs w:val="21"/>
        </w:rPr>
        <w:t>包含</w:t>
      </w:r>
      <w:r>
        <w:rPr>
          <w:rFonts w:ascii="阿里巴巴普惠体 R" w:eastAsia="阿里巴巴普惠体 R" w:hAnsi="阿里巴巴普惠体 R" w:cs="阿里巴巴普惠体 R"/>
          <w:color w:val="000000" w:themeColor="text1"/>
          <w:szCs w:val="21"/>
        </w:rPr>
        <w:t>单中心、</w:t>
      </w:r>
      <w:r>
        <w:rPr>
          <w:rFonts w:ascii="阿里巴巴普惠体 R" w:eastAsia="阿里巴巴普惠体 R" w:hAnsi="阿里巴巴普惠体 R" w:cs="阿里巴巴普惠体 R" w:hint="eastAsia"/>
          <w:color w:val="000000" w:themeColor="text1"/>
          <w:szCs w:val="21"/>
        </w:rPr>
        <w:t>多中心</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同时</w:t>
      </w:r>
      <w:r>
        <w:rPr>
          <w:rFonts w:ascii="阿里巴巴普惠体 R" w:eastAsia="阿里巴巴普惠体 R" w:hAnsi="阿里巴巴普惠体 R" w:cs="阿里巴巴普惠体 R"/>
          <w:color w:val="000000" w:themeColor="text1"/>
          <w:szCs w:val="21"/>
        </w:rPr>
        <w:t>匹配不同服务对象、</w:t>
      </w:r>
      <w:r>
        <w:rPr>
          <w:rFonts w:ascii="阿里巴巴普惠体 R" w:eastAsia="阿里巴巴普惠体 R" w:hAnsi="阿里巴巴普惠体 R" w:cs="阿里巴巴普惠体 R" w:hint="eastAsia"/>
          <w:color w:val="000000" w:themeColor="text1"/>
          <w:szCs w:val="21"/>
        </w:rPr>
        <w:t>服务</w:t>
      </w:r>
      <w:r>
        <w:rPr>
          <w:rFonts w:ascii="阿里巴巴普惠体 R" w:eastAsia="阿里巴巴普惠体 R" w:hAnsi="阿里巴巴普惠体 R" w:cs="阿里巴巴普惠体 R"/>
          <w:color w:val="000000" w:themeColor="text1"/>
          <w:szCs w:val="21"/>
        </w:rPr>
        <w:t>内容；</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16.</w:t>
      </w:r>
      <w:r>
        <w:rPr>
          <w:rFonts w:ascii="阿里巴巴普惠体 R" w:eastAsia="阿里巴巴普惠体 R" w:hAnsi="阿里巴巴普惠体 R" w:cs="阿里巴巴普惠体 R" w:hint="eastAsia"/>
          <w:color w:val="000000" w:themeColor="text1"/>
          <w:szCs w:val="21"/>
        </w:rPr>
        <w:t>在选址</w:t>
      </w:r>
      <w:r>
        <w:rPr>
          <w:rFonts w:ascii="阿里巴巴普惠体 R" w:eastAsia="阿里巴巴普惠体 R" w:hAnsi="阿里巴巴普惠体 R" w:cs="阿里巴巴普惠体 R"/>
          <w:color w:val="000000" w:themeColor="text1"/>
          <w:szCs w:val="21"/>
        </w:rPr>
        <w:t>设计中给出核心模型，</w:t>
      </w:r>
      <w:r>
        <w:rPr>
          <w:rFonts w:ascii="阿里巴巴普惠体 R" w:eastAsia="阿里巴巴普惠体 R" w:hAnsi="阿里巴巴普惠体 R" w:cs="阿里巴巴普惠体 R" w:hint="eastAsia"/>
          <w:color w:val="000000" w:themeColor="text1"/>
          <w:szCs w:val="21"/>
        </w:rPr>
        <w:t>支持</w:t>
      </w:r>
      <w:r>
        <w:rPr>
          <w:rFonts w:ascii="阿里巴巴普惠体 R" w:eastAsia="阿里巴巴普惠体 R" w:hAnsi="阿里巴巴普惠体 R" w:cs="阿里巴巴普惠体 R"/>
          <w:color w:val="000000" w:themeColor="text1"/>
          <w:szCs w:val="21"/>
        </w:rPr>
        <w:t>学生</w:t>
      </w:r>
      <w:r>
        <w:rPr>
          <w:rFonts w:ascii="阿里巴巴普惠体 R" w:eastAsia="阿里巴巴普惠体 R" w:hAnsi="阿里巴巴普惠体 R" w:cs="阿里巴巴普惠体 R" w:hint="eastAsia"/>
          <w:color w:val="000000" w:themeColor="text1"/>
          <w:szCs w:val="21"/>
        </w:rPr>
        <w:t>科学素养</w:t>
      </w:r>
      <w:r>
        <w:rPr>
          <w:rFonts w:ascii="阿里巴巴普惠体 R" w:eastAsia="阿里巴巴普惠体 R" w:hAnsi="阿里巴巴普惠体 R" w:cs="阿里巴巴普惠体 R"/>
          <w:color w:val="000000" w:themeColor="text1"/>
          <w:szCs w:val="21"/>
        </w:rPr>
        <w:t>养成；</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17.</w:t>
      </w:r>
      <w:r>
        <w:rPr>
          <w:rFonts w:ascii="阿里巴巴普惠体 R" w:eastAsia="阿里巴巴普惠体 R" w:hAnsi="阿里巴巴普惠体 R" w:cs="阿里巴巴普惠体 R" w:hint="eastAsia"/>
          <w:color w:val="000000" w:themeColor="text1"/>
          <w:szCs w:val="21"/>
        </w:rPr>
        <w:t>在</w:t>
      </w:r>
      <w:r>
        <w:rPr>
          <w:rFonts w:ascii="阿里巴巴普惠体 R" w:eastAsia="阿里巴巴普惠体 R" w:hAnsi="阿里巴巴普惠体 R" w:cs="阿里巴巴普惠体 R"/>
          <w:color w:val="000000" w:themeColor="text1"/>
          <w:szCs w:val="21"/>
        </w:rPr>
        <w:t>组织设计过程中支持案例企业财务共享前</w:t>
      </w:r>
      <w:r>
        <w:rPr>
          <w:rFonts w:ascii="阿里巴巴普惠体 R" w:eastAsia="阿里巴巴普惠体 R" w:hAnsi="阿里巴巴普惠体 R" w:cs="阿里巴巴普惠体 R" w:hint="eastAsia"/>
          <w:color w:val="000000" w:themeColor="text1"/>
          <w:szCs w:val="21"/>
        </w:rPr>
        <w:t>与共享后</w:t>
      </w:r>
      <w:r>
        <w:rPr>
          <w:rFonts w:ascii="阿里巴巴普惠体 R" w:eastAsia="阿里巴巴普惠体 R" w:hAnsi="阿里巴巴普惠体 R" w:cs="阿里巴巴普惠体 R"/>
          <w:color w:val="000000" w:themeColor="text1"/>
          <w:szCs w:val="21"/>
        </w:rPr>
        <w:t>的推演变化过程，</w:t>
      </w:r>
      <w:r>
        <w:rPr>
          <w:rFonts w:ascii="阿里巴巴普惠体 R" w:eastAsia="阿里巴巴普惠体 R" w:hAnsi="阿里巴巴普惠体 R" w:cs="阿里巴巴普惠体 R" w:hint="eastAsia"/>
          <w:color w:val="000000" w:themeColor="text1"/>
          <w:szCs w:val="21"/>
        </w:rPr>
        <w:t>以</w:t>
      </w:r>
      <w:r>
        <w:rPr>
          <w:rFonts w:ascii="阿里巴巴普惠体 R" w:eastAsia="阿里巴巴普惠体 R" w:hAnsi="阿里巴巴普惠体 R" w:cs="阿里巴巴普惠体 R"/>
          <w:color w:val="000000" w:themeColor="text1"/>
          <w:szCs w:val="21"/>
        </w:rPr>
        <w:t>三角财务组织转型为模型</w:t>
      </w:r>
      <w:r>
        <w:rPr>
          <w:rFonts w:ascii="阿里巴巴普惠体 R" w:eastAsia="阿里巴巴普惠体 R" w:hAnsi="阿里巴巴普惠体 R" w:cs="阿里巴巴普惠体 R" w:hint="eastAsia"/>
          <w:color w:val="000000" w:themeColor="text1"/>
          <w:szCs w:val="21"/>
        </w:rPr>
        <w:t>依据</w:t>
      </w:r>
      <w:r>
        <w:rPr>
          <w:rFonts w:ascii="阿里巴巴普惠体 R" w:eastAsia="阿里巴巴普惠体 R" w:hAnsi="阿里巴巴普惠体 R" w:cs="阿里巴巴普惠体 R"/>
          <w:color w:val="000000" w:themeColor="text1"/>
          <w:szCs w:val="21"/>
        </w:rPr>
        <w:t>，使学生</w:t>
      </w:r>
      <w:r>
        <w:rPr>
          <w:rFonts w:ascii="阿里巴巴普惠体 R" w:eastAsia="阿里巴巴普惠体 R" w:hAnsi="阿里巴巴普惠体 R" w:cs="阿里巴巴普惠体 R" w:hint="eastAsia"/>
          <w:color w:val="000000" w:themeColor="text1"/>
          <w:szCs w:val="21"/>
        </w:rPr>
        <w:t>深刻</w:t>
      </w:r>
      <w:r>
        <w:rPr>
          <w:rFonts w:ascii="阿里巴巴普惠体 R" w:eastAsia="阿里巴巴普惠体 R" w:hAnsi="阿里巴巴普惠体 R" w:cs="阿里巴巴普惠体 R"/>
          <w:color w:val="000000" w:themeColor="text1"/>
          <w:szCs w:val="21"/>
        </w:rPr>
        <w:t>体会财务共享对财务管理模式带来的变革过程，</w:t>
      </w:r>
      <w:r>
        <w:rPr>
          <w:rFonts w:ascii="阿里巴巴普惠体 R" w:eastAsia="阿里巴巴普惠体 R" w:hAnsi="阿里巴巴普惠体 R" w:cs="阿里巴巴普惠体 R" w:hint="eastAsia"/>
          <w:color w:val="000000" w:themeColor="text1"/>
          <w:szCs w:val="21"/>
        </w:rPr>
        <w:t>通过</w:t>
      </w:r>
      <w:r>
        <w:rPr>
          <w:rFonts w:ascii="阿里巴巴普惠体 R" w:eastAsia="阿里巴巴普惠体 R" w:hAnsi="阿里巴巴普惠体 R" w:cs="阿里巴巴普惠体 R"/>
          <w:color w:val="000000" w:themeColor="text1"/>
          <w:szCs w:val="21"/>
        </w:rPr>
        <w:t>真实</w:t>
      </w:r>
      <w:r>
        <w:rPr>
          <w:rFonts w:ascii="阿里巴巴普惠体 R" w:eastAsia="阿里巴巴普惠体 R" w:hAnsi="阿里巴巴普惠体 R" w:cs="阿里巴巴普惠体 R" w:hint="eastAsia"/>
          <w:color w:val="000000" w:themeColor="text1"/>
          <w:szCs w:val="21"/>
        </w:rPr>
        <w:t>模拟</w:t>
      </w:r>
      <w:r>
        <w:rPr>
          <w:rFonts w:ascii="阿里巴巴普惠体 R" w:eastAsia="阿里巴巴普惠体 R" w:hAnsi="阿里巴巴普惠体 R" w:cs="阿里巴巴普惠体 R"/>
          <w:color w:val="000000" w:themeColor="text1"/>
          <w:szCs w:val="21"/>
        </w:rPr>
        <w:t>企业财务共享建设咨询过程</w:t>
      </w:r>
      <w:r>
        <w:rPr>
          <w:rFonts w:ascii="阿里巴巴普惠体 R" w:eastAsia="阿里巴巴普惠体 R" w:hAnsi="阿里巴巴普惠体 R" w:cs="阿里巴巴普惠体 R" w:hint="eastAsia"/>
          <w:color w:val="000000" w:themeColor="text1"/>
          <w:szCs w:val="21"/>
        </w:rPr>
        <w:t>中</w:t>
      </w:r>
      <w:r>
        <w:rPr>
          <w:rFonts w:ascii="阿里巴巴普惠体 R" w:eastAsia="阿里巴巴普惠体 R" w:hAnsi="阿里巴巴普惠体 R" w:cs="阿里巴巴普惠体 R"/>
          <w:color w:val="000000" w:themeColor="text1"/>
          <w:szCs w:val="21"/>
        </w:rPr>
        <w:t>人员三定（</w:t>
      </w:r>
      <w:r>
        <w:rPr>
          <w:rFonts w:ascii="阿里巴巴普惠体 R" w:eastAsia="阿里巴巴普惠体 R" w:hAnsi="阿里巴巴普惠体 R" w:cs="阿里巴巴普惠体 R" w:hint="eastAsia"/>
          <w:color w:val="000000" w:themeColor="text1"/>
          <w:szCs w:val="21"/>
        </w:rPr>
        <w:t>定编</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定岗</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定责</w:t>
      </w:r>
      <w:r>
        <w:rPr>
          <w:rFonts w:ascii="阿里巴巴普惠体 R" w:eastAsia="阿里巴巴普惠体 R" w:hAnsi="阿里巴巴普惠体 R" w:cs="阿里巴巴普惠体 R"/>
          <w:color w:val="000000" w:themeColor="text1"/>
          <w:szCs w:val="21"/>
        </w:rPr>
        <w:t>）设计</w:t>
      </w:r>
      <w:r>
        <w:rPr>
          <w:rFonts w:ascii="阿里巴巴普惠体 R" w:eastAsia="阿里巴巴普惠体 R" w:hAnsi="阿里巴巴普惠体 R" w:cs="阿里巴巴普惠体 R" w:hint="eastAsia"/>
          <w:color w:val="000000" w:themeColor="text1"/>
          <w:szCs w:val="21"/>
        </w:rPr>
        <w:t>过程</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深刻反思</w:t>
      </w:r>
      <w:r>
        <w:rPr>
          <w:rFonts w:ascii="阿里巴巴普惠体 R" w:eastAsia="阿里巴巴普惠体 R" w:hAnsi="阿里巴巴普惠体 R" w:cs="阿里巴巴普惠体 R"/>
          <w:color w:val="000000" w:themeColor="text1"/>
          <w:szCs w:val="21"/>
        </w:rPr>
        <w:t>财务共享</w:t>
      </w:r>
      <w:r>
        <w:rPr>
          <w:rFonts w:ascii="阿里巴巴普惠体 R" w:eastAsia="阿里巴巴普惠体 R" w:hAnsi="阿里巴巴普惠体 R" w:cs="阿里巴巴普惠体 R" w:hint="eastAsia"/>
          <w:color w:val="000000" w:themeColor="text1"/>
          <w:szCs w:val="21"/>
        </w:rPr>
        <w:t>对</w:t>
      </w:r>
      <w:r>
        <w:rPr>
          <w:rFonts w:ascii="阿里巴巴普惠体 R" w:eastAsia="阿里巴巴普惠体 R" w:hAnsi="阿里巴巴普惠体 R" w:cs="阿里巴巴普惠体 R"/>
          <w:color w:val="000000" w:themeColor="text1"/>
          <w:szCs w:val="21"/>
        </w:rPr>
        <w:t>财务人员未来发展路径的影响，</w:t>
      </w:r>
      <w:r>
        <w:rPr>
          <w:rFonts w:ascii="阿里巴巴普惠体 R" w:eastAsia="阿里巴巴普惠体 R" w:hAnsi="阿里巴巴普惠体 R" w:cs="阿里巴巴普惠体 R" w:hint="eastAsia"/>
          <w:color w:val="000000" w:themeColor="text1"/>
          <w:szCs w:val="21"/>
        </w:rPr>
        <w:t>对</w:t>
      </w:r>
      <w:r>
        <w:rPr>
          <w:rFonts w:ascii="阿里巴巴普惠体 R" w:eastAsia="阿里巴巴普惠体 R" w:hAnsi="阿里巴巴普惠体 R" w:cs="阿里巴巴普惠体 R"/>
          <w:color w:val="000000" w:themeColor="text1"/>
          <w:szCs w:val="21"/>
        </w:rPr>
        <w:t>财务人员能力素养的要求；</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18.</w:t>
      </w:r>
      <w:r>
        <w:rPr>
          <w:rFonts w:ascii="阿里巴巴普惠体 R" w:eastAsia="阿里巴巴普惠体 R" w:hAnsi="阿里巴巴普惠体 R" w:cs="阿里巴巴普惠体 R" w:hint="eastAsia"/>
          <w:color w:val="000000" w:themeColor="text1"/>
          <w:szCs w:val="21"/>
        </w:rPr>
        <w:t>在流程</w:t>
      </w:r>
      <w:r>
        <w:rPr>
          <w:rFonts w:ascii="阿里巴巴普惠体 R" w:eastAsia="阿里巴巴普惠体 R" w:hAnsi="阿里巴巴普惠体 R" w:cs="阿里巴巴普惠体 R"/>
          <w:color w:val="000000" w:themeColor="text1"/>
          <w:szCs w:val="21"/>
        </w:rPr>
        <w:t>设计过程中</w:t>
      </w:r>
      <w:r>
        <w:rPr>
          <w:rFonts w:ascii="阿里巴巴普惠体 R" w:eastAsia="阿里巴巴普惠体 R" w:hAnsi="阿里巴巴普惠体 R" w:cs="阿里巴巴普惠体 R" w:hint="eastAsia"/>
          <w:color w:val="000000" w:themeColor="text1"/>
          <w:szCs w:val="21"/>
        </w:rPr>
        <w:t>支持</w:t>
      </w:r>
      <w:r>
        <w:rPr>
          <w:rFonts w:ascii="阿里巴巴普惠体 R" w:eastAsia="阿里巴巴普惠体 R" w:hAnsi="阿里巴巴普惠体 R" w:cs="阿里巴巴普惠体 R"/>
          <w:color w:val="000000" w:themeColor="text1"/>
          <w:szCs w:val="21"/>
        </w:rPr>
        <w:t>案例企业共享前、</w:t>
      </w:r>
      <w:r>
        <w:rPr>
          <w:rFonts w:ascii="阿里巴巴普惠体 R" w:eastAsia="阿里巴巴普惠体 R" w:hAnsi="阿里巴巴普惠体 R" w:cs="阿里巴巴普惠体 R" w:hint="eastAsia"/>
          <w:color w:val="000000" w:themeColor="text1"/>
          <w:szCs w:val="21"/>
        </w:rPr>
        <w:t>共享后业务流程</w:t>
      </w:r>
      <w:r>
        <w:rPr>
          <w:rFonts w:ascii="阿里巴巴普惠体 R" w:eastAsia="阿里巴巴普惠体 R" w:hAnsi="阿里巴巴普惠体 R" w:cs="阿里巴巴普惠体 R"/>
          <w:color w:val="000000" w:themeColor="text1"/>
          <w:szCs w:val="21"/>
        </w:rPr>
        <w:t>变化，提供</w:t>
      </w:r>
      <w:r>
        <w:rPr>
          <w:rFonts w:ascii="阿里巴巴普惠体 R" w:eastAsia="阿里巴巴普惠体 R" w:hAnsi="阿里巴巴普惠体 R" w:cs="阿里巴巴普惠体 R" w:hint="eastAsia"/>
          <w:color w:val="000000" w:themeColor="text1"/>
          <w:szCs w:val="21"/>
        </w:rPr>
        <w:t>基于费用</w:t>
      </w:r>
      <w:r>
        <w:rPr>
          <w:rFonts w:ascii="阿里巴巴普惠体 R" w:eastAsia="阿里巴巴普惠体 R" w:hAnsi="阿里巴巴普惠体 R" w:cs="阿里巴巴普惠体 R"/>
          <w:color w:val="000000" w:themeColor="text1"/>
          <w:szCs w:val="21"/>
        </w:rPr>
        <w:t>报销</w:t>
      </w:r>
      <w:r>
        <w:rPr>
          <w:rFonts w:ascii="阿里巴巴普惠体 R" w:eastAsia="阿里巴巴普惠体 R" w:hAnsi="阿里巴巴普惠体 R" w:cs="阿里巴巴普惠体 R" w:hint="eastAsia"/>
          <w:color w:val="000000" w:themeColor="text1"/>
          <w:szCs w:val="21"/>
          <w:lang w:val="en-US"/>
        </w:rPr>
        <w:t>等</w:t>
      </w:r>
      <w:r>
        <w:rPr>
          <w:rFonts w:ascii="阿里巴巴普惠体 R" w:eastAsia="阿里巴巴普惠体 R" w:hAnsi="阿里巴巴普惠体 R" w:cs="阿里巴巴普惠体 R" w:hint="eastAsia"/>
          <w:color w:val="000000" w:themeColor="text1"/>
          <w:szCs w:val="21"/>
        </w:rPr>
        <w:t>端到</w:t>
      </w:r>
      <w:proofErr w:type="gramStart"/>
      <w:r>
        <w:rPr>
          <w:rFonts w:ascii="阿里巴巴普惠体 R" w:eastAsia="阿里巴巴普惠体 R" w:hAnsi="阿里巴巴普惠体 R" w:cs="阿里巴巴普惠体 R" w:hint="eastAsia"/>
          <w:color w:val="000000" w:themeColor="text1"/>
          <w:szCs w:val="21"/>
        </w:rPr>
        <w:t>端</w:t>
      </w:r>
      <w:r>
        <w:rPr>
          <w:rFonts w:ascii="阿里巴巴普惠体 R" w:eastAsia="阿里巴巴普惠体 R" w:hAnsi="阿里巴巴普惠体 R" w:cs="阿里巴巴普惠体 R"/>
          <w:color w:val="000000" w:themeColor="text1"/>
          <w:szCs w:val="21"/>
        </w:rPr>
        <w:t>企业</w:t>
      </w:r>
      <w:proofErr w:type="gramEnd"/>
      <w:r>
        <w:rPr>
          <w:rFonts w:ascii="阿里巴巴普惠体 R" w:eastAsia="阿里巴巴普惠体 R" w:hAnsi="阿里巴巴普惠体 R" w:cs="阿里巴巴普惠体 R" w:hint="eastAsia"/>
          <w:color w:val="000000" w:themeColor="text1"/>
          <w:szCs w:val="21"/>
        </w:rPr>
        <w:t>业务流程</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从</w:t>
      </w:r>
      <w:r>
        <w:rPr>
          <w:rFonts w:ascii="阿里巴巴普惠体 R" w:eastAsia="阿里巴巴普惠体 R" w:hAnsi="阿里巴巴普惠体 R" w:cs="阿里巴巴普惠体 R"/>
          <w:color w:val="000000" w:themeColor="text1"/>
          <w:szCs w:val="21"/>
        </w:rPr>
        <w:t>宏观、</w:t>
      </w:r>
      <w:r>
        <w:rPr>
          <w:rFonts w:ascii="阿里巴巴普惠体 R" w:eastAsia="阿里巴巴普惠体 R" w:hAnsi="阿里巴巴普惠体 R" w:cs="阿里巴巴普惠体 R" w:hint="eastAsia"/>
          <w:color w:val="000000" w:themeColor="text1"/>
          <w:szCs w:val="21"/>
        </w:rPr>
        <w:t>微观</w:t>
      </w:r>
      <w:r>
        <w:rPr>
          <w:rFonts w:ascii="阿里巴巴普惠体 R" w:eastAsia="阿里巴巴普惠体 R" w:hAnsi="阿里巴巴普惠体 R" w:cs="阿里巴巴普惠体 R"/>
          <w:color w:val="000000" w:themeColor="text1"/>
          <w:szCs w:val="21"/>
        </w:rPr>
        <w:t>两个层面，</w:t>
      </w:r>
      <w:r>
        <w:rPr>
          <w:rFonts w:ascii="阿里巴巴普惠体 R" w:eastAsia="阿里巴巴普惠体 R" w:hAnsi="阿里巴巴普惠体 R" w:cs="阿里巴巴普惠体 R" w:hint="eastAsia"/>
          <w:color w:val="000000" w:themeColor="text1"/>
          <w:szCs w:val="21"/>
        </w:rPr>
        <w:t>促进</w:t>
      </w:r>
      <w:r>
        <w:rPr>
          <w:rFonts w:ascii="阿里巴巴普惠体 R" w:eastAsia="阿里巴巴普惠体 R" w:hAnsi="阿里巴巴普惠体 R" w:cs="阿里巴巴普惠体 R"/>
          <w:color w:val="000000" w:themeColor="text1"/>
          <w:szCs w:val="21"/>
        </w:rPr>
        <w:t>学生对财务共享建设过程中端到端流程设计的</w:t>
      </w:r>
      <w:r>
        <w:rPr>
          <w:rFonts w:ascii="阿里巴巴普惠体 R" w:eastAsia="阿里巴巴普惠体 R" w:hAnsi="阿里巴巴普惠体 R" w:cs="阿里巴巴普惠体 R" w:hint="eastAsia"/>
          <w:color w:val="000000" w:themeColor="text1"/>
          <w:szCs w:val="21"/>
        </w:rPr>
        <w:t>关键</w:t>
      </w:r>
      <w:r>
        <w:rPr>
          <w:rFonts w:ascii="阿里巴巴普惠体 R" w:eastAsia="阿里巴巴普惠体 R" w:hAnsi="阿里巴巴普惠体 R" w:cs="阿里巴巴普惠体 R"/>
          <w:color w:val="000000" w:themeColor="text1"/>
          <w:szCs w:val="21"/>
        </w:rPr>
        <w:t>要点、</w:t>
      </w:r>
      <w:r>
        <w:rPr>
          <w:rFonts w:ascii="阿里巴巴普惠体 R" w:eastAsia="阿里巴巴普惠体 R" w:hAnsi="阿里巴巴普惠体 R" w:cs="阿里巴巴普惠体 R" w:hint="eastAsia"/>
          <w:color w:val="000000" w:themeColor="text1"/>
          <w:szCs w:val="21"/>
        </w:rPr>
        <w:t>步骤</w:t>
      </w:r>
      <w:r>
        <w:rPr>
          <w:rFonts w:ascii="阿里巴巴普惠体 R" w:eastAsia="阿里巴巴普惠体 R" w:hAnsi="阿里巴巴普惠体 R" w:cs="阿里巴巴普惠体 R"/>
          <w:color w:val="000000" w:themeColor="text1"/>
          <w:szCs w:val="21"/>
        </w:rPr>
        <w:t>的学习与掌握；</w:t>
      </w:r>
      <w:r>
        <w:rPr>
          <w:rFonts w:ascii="阿里巴巴普惠体 R" w:eastAsia="阿里巴巴普惠体 R" w:hAnsi="阿里巴巴普惠体 R" w:cs="阿里巴巴普惠体 R" w:hint="eastAsia"/>
          <w:color w:val="000000" w:themeColor="text1"/>
          <w:szCs w:val="21"/>
        </w:rPr>
        <w:br/>
      </w:r>
      <w:r>
        <w:rPr>
          <w:rFonts w:ascii="阿里巴巴普惠体 R" w:eastAsia="阿里巴巴普惠体 R" w:hAnsi="阿里巴巴普惠体 R" w:cs="阿里巴巴普惠体 R" w:hint="eastAsia"/>
          <w:color w:val="000000" w:themeColor="text1"/>
          <w:szCs w:val="21"/>
          <w:lang w:val="en-US"/>
        </w:rPr>
        <w:t>19.</w:t>
      </w:r>
      <w:r>
        <w:rPr>
          <w:rFonts w:ascii="阿里巴巴普惠体 R" w:eastAsia="阿里巴巴普惠体 R" w:hAnsi="阿里巴巴普惠体 R" w:cs="阿里巴巴普惠体 R" w:hint="eastAsia"/>
          <w:color w:val="000000" w:themeColor="text1"/>
          <w:szCs w:val="21"/>
        </w:rPr>
        <w:t>在信息技术</w:t>
      </w:r>
      <w:r>
        <w:rPr>
          <w:rFonts w:ascii="阿里巴巴普惠体 R" w:eastAsia="阿里巴巴普惠体 R" w:hAnsi="阿里巴巴普惠体 R" w:cs="阿里巴巴普惠体 R"/>
          <w:color w:val="000000" w:themeColor="text1"/>
          <w:szCs w:val="21"/>
        </w:rPr>
        <w:t>规划中，</w:t>
      </w:r>
      <w:r>
        <w:rPr>
          <w:rFonts w:ascii="阿里巴巴普惠体 R" w:eastAsia="阿里巴巴普惠体 R" w:hAnsi="阿里巴巴普惠体 R" w:cs="阿里巴巴普惠体 R" w:hint="eastAsia"/>
          <w:color w:val="000000" w:themeColor="text1"/>
          <w:szCs w:val="21"/>
        </w:rPr>
        <w:t>财务共享服务中心所涉及到的信息系统包括财务共享服务平台、</w:t>
      </w:r>
      <w:proofErr w:type="gramStart"/>
      <w:r>
        <w:rPr>
          <w:rFonts w:ascii="阿里巴巴普惠体 R" w:eastAsia="阿里巴巴普惠体 R" w:hAnsi="阿里巴巴普惠体 R" w:cs="阿里巴巴普惠体 R" w:hint="eastAsia"/>
          <w:color w:val="000000" w:themeColor="text1"/>
          <w:szCs w:val="21"/>
        </w:rPr>
        <w:t>业财信息系统</w:t>
      </w:r>
      <w:proofErr w:type="gramEnd"/>
      <w:r>
        <w:rPr>
          <w:rFonts w:ascii="阿里巴巴普惠体 R" w:eastAsia="阿里巴巴普惠体 R" w:hAnsi="阿里巴巴普惠体 R" w:cs="阿里巴巴普惠体 R" w:hint="eastAsia"/>
          <w:color w:val="000000" w:themeColor="text1"/>
          <w:szCs w:val="21"/>
        </w:rPr>
        <w:t>、资金结算系统等；新技术选型，财务机器人、</w:t>
      </w:r>
      <w:proofErr w:type="gramStart"/>
      <w:r>
        <w:rPr>
          <w:rFonts w:ascii="阿里巴巴普惠体 R" w:eastAsia="阿里巴巴普惠体 R" w:hAnsi="阿里巴巴普惠体 R" w:cs="阿里巴巴普惠体 R" w:hint="eastAsia"/>
          <w:color w:val="000000" w:themeColor="text1"/>
          <w:szCs w:val="21"/>
        </w:rPr>
        <w:t>高拍仪、扫码枪</w:t>
      </w:r>
      <w:proofErr w:type="gramEnd"/>
      <w:r>
        <w:rPr>
          <w:rFonts w:ascii="阿里巴巴普惠体 R" w:eastAsia="阿里巴巴普惠体 R" w:hAnsi="阿里巴巴普惠体 R" w:cs="阿里巴巴普惠体 R" w:hint="eastAsia"/>
          <w:color w:val="000000" w:themeColor="text1"/>
          <w:szCs w:val="21"/>
        </w:rPr>
        <w:t>等</w:t>
      </w:r>
      <w:r>
        <w:rPr>
          <w:rFonts w:ascii="阿里巴巴普惠体 R" w:eastAsia="阿里巴巴普惠体 R" w:hAnsi="阿里巴巴普惠体 R" w:cs="阿里巴巴普惠体 R"/>
          <w:color w:val="000000" w:themeColor="text1"/>
          <w:szCs w:val="21"/>
        </w:rPr>
        <w:t>的</w:t>
      </w:r>
      <w:r>
        <w:rPr>
          <w:rFonts w:ascii="阿里巴巴普惠体 R" w:eastAsia="阿里巴巴普惠体 R" w:hAnsi="阿里巴巴普惠体 R" w:cs="阿里巴巴普惠体 R" w:hint="eastAsia"/>
          <w:color w:val="000000" w:themeColor="text1"/>
          <w:szCs w:val="21"/>
        </w:rPr>
        <w:t>选择</w:t>
      </w:r>
      <w:r>
        <w:rPr>
          <w:rFonts w:ascii="阿里巴巴普惠体 R" w:eastAsia="阿里巴巴普惠体 R" w:hAnsi="阿里巴巴普惠体 R" w:cs="阿里巴巴普惠体 R"/>
          <w:color w:val="000000" w:themeColor="text1"/>
          <w:szCs w:val="21"/>
        </w:rPr>
        <w:t>与匹配</w:t>
      </w:r>
      <w:r>
        <w:rPr>
          <w:rFonts w:ascii="阿里巴巴普惠体 R" w:eastAsia="阿里巴巴普惠体 R" w:hAnsi="阿里巴巴普惠体 R" w:cs="阿里巴巴普惠体 R" w:hint="eastAsia"/>
          <w:color w:val="000000" w:themeColor="text1"/>
          <w:szCs w:val="21"/>
        </w:rPr>
        <w:t>；</w:t>
      </w:r>
    </w:p>
    <w:p w14:paraId="3E17D2B0"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20.</w:t>
      </w:r>
      <w:r>
        <w:rPr>
          <w:rFonts w:ascii="阿里巴巴普惠体 R" w:eastAsia="阿里巴巴普惠体 R" w:hAnsi="阿里巴巴普惠体 R" w:cs="阿里巴巴普惠体 R" w:hint="eastAsia"/>
          <w:color w:val="000000" w:themeColor="text1"/>
          <w:szCs w:val="21"/>
        </w:rPr>
        <w:t>共享业务流程实现：支持在实</w:t>
      </w:r>
      <w:proofErr w:type="gramStart"/>
      <w:r>
        <w:rPr>
          <w:rFonts w:ascii="阿里巴巴普惠体 R" w:eastAsia="阿里巴巴普惠体 R" w:hAnsi="阿里巴巴普惠体 R" w:cs="阿里巴巴普惠体 R" w:hint="eastAsia"/>
          <w:color w:val="000000" w:themeColor="text1"/>
          <w:szCs w:val="21"/>
        </w:rPr>
        <w:t>训系统</w:t>
      </w:r>
      <w:proofErr w:type="gramEnd"/>
      <w:r>
        <w:rPr>
          <w:rFonts w:ascii="阿里巴巴普惠体 R" w:eastAsia="阿里巴巴普惠体 R" w:hAnsi="阿里巴巴普惠体 R" w:cs="阿里巴巴普惠体 R" w:hint="eastAsia"/>
          <w:color w:val="000000" w:themeColor="text1"/>
          <w:szCs w:val="21"/>
        </w:rPr>
        <w:t>中操作体验，包括费用共享、税务共享、档案共享、总账共享、报表共享</w:t>
      </w:r>
      <w:proofErr w:type="gramStart"/>
      <w:r>
        <w:rPr>
          <w:rFonts w:ascii="阿里巴巴普惠体 R" w:eastAsia="阿里巴巴普惠体 R" w:hAnsi="阿里巴巴普惠体 R" w:cs="阿里巴巴普惠体 R" w:hint="eastAsia"/>
          <w:color w:val="000000" w:themeColor="text1"/>
          <w:szCs w:val="21"/>
        </w:rPr>
        <w:t>等业财融合</w:t>
      </w:r>
      <w:proofErr w:type="gramEnd"/>
      <w:r>
        <w:rPr>
          <w:rFonts w:ascii="阿里巴巴普惠体 R" w:eastAsia="阿里巴巴普惠体 R" w:hAnsi="阿里巴巴普惠体 R" w:cs="阿里巴巴普惠体 R" w:hint="eastAsia"/>
          <w:color w:val="000000" w:themeColor="text1"/>
          <w:szCs w:val="21"/>
        </w:rPr>
        <w:t>共享业务，对于业务处理完成后生成的凭证支持自动甄别，凭证考核点包括：①会计期间是否正确 ②会计科目是否正确 ③辅助核算是否正确 ④借贷</w:t>
      </w:r>
      <w:proofErr w:type="gramStart"/>
      <w:r>
        <w:rPr>
          <w:rFonts w:ascii="阿里巴巴普惠体 R" w:eastAsia="阿里巴巴普惠体 R" w:hAnsi="阿里巴巴普惠体 R" w:cs="阿里巴巴普惠体 R" w:hint="eastAsia"/>
          <w:color w:val="000000" w:themeColor="text1"/>
          <w:szCs w:val="21"/>
        </w:rPr>
        <w:t>方金额</w:t>
      </w:r>
      <w:proofErr w:type="gramEnd"/>
      <w:r>
        <w:rPr>
          <w:rFonts w:ascii="阿里巴巴普惠体 R" w:eastAsia="阿里巴巴普惠体 R" w:hAnsi="阿里巴巴普惠体 R" w:cs="阿里巴巴普惠体 R" w:hint="eastAsia"/>
          <w:color w:val="000000" w:themeColor="text1"/>
          <w:szCs w:val="21"/>
        </w:rPr>
        <w:t>是否正确，只有这四点都正确才能认定此凭证正确。</w:t>
      </w:r>
    </w:p>
    <w:p w14:paraId="32FA8234"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21.</w:t>
      </w:r>
      <w:r>
        <w:rPr>
          <w:rFonts w:ascii="阿里巴巴普惠体 R" w:eastAsia="阿里巴巴普惠体 R" w:hAnsi="阿里巴巴普惠体 R" w:cs="阿里巴巴普惠体 R" w:hint="eastAsia"/>
          <w:color w:val="000000" w:themeColor="text1"/>
          <w:szCs w:val="21"/>
        </w:rPr>
        <w:t>共享中心作业实训：在任务处理及任务管理中提供专事专岗统一界面进行集中作业审核处理，提供双屏审单、自动制证提高工作效率，通过对工作量的计量、量比实现规范运营和质量管控；支持按团队和个人两种模式进行财务共享服务中心作业实训，每个实训班级支持不少于2</w:t>
      </w:r>
      <w:r>
        <w:rPr>
          <w:rFonts w:ascii="阿里巴巴普惠体 R" w:eastAsia="阿里巴巴普惠体 R" w:hAnsi="阿里巴巴普惠体 R" w:cs="阿里巴巴普惠体 R"/>
          <w:color w:val="000000" w:themeColor="text1"/>
          <w:szCs w:val="21"/>
        </w:rPr>
        <w:t>5</w:t>
      </w:r>
      <w:r>
        <w:rPr>
          <w:rFonts w:ascii="阿里巴巴普惠体 R" w:eastAsia="阿里巴巴普惠体 R" w:hAnsi="阿里巴巴普惠体 R" w:cs="阿里巴巴普惠体 R" w:hint="eastAsia"/>
          <w:color w:val="000000" w:themeColor="text1"/>
          <w:szCs w:val="21"/>
        </w:rPr>
        <w:t>组同时</w:t>
      </w:r>
      <w:proofErr w:type="gramStart"/>
      <w:r>
        <w:rPr>
          <w:rFonts w:ascii="阿里巴巴普惠体 R" w:eastAsia="阿里巴巴普惠体 R" w:hAnsi="阿里巴巴普惠体 R" w:cs="阿里巴巴普惠体 R" w:hint="eastAsia"/>
          <w:color w:val="000000" w:themeColor="text1"/>
          <w:szCs w:val="21"/>
        </w:rPr>
        <w:t>进行抢单作业</w:t>
      </w:r>
      <w:proofErr w:type="gramEnd"/>
      <w:r>
        <w:rPr>
          <w:rFonts w:ascii="阿里巴巴普惠体 R" w:eastAsia="阿里巴巴普惠体 R" w:hAnsi="阿里巴巴普惠体 R" w:cs="阿里巴巴普惠体 R" w:hint="eastAsia"/>
          <w:color w:val="000000" w:themeColor="text1"/>
          <w:szCs w:val="21"/>
        </w:rPr>
        <w:t>竞技，可提取作业量不少于7</w:t>
      </w:r>
      <w:r>
        <w:rPr>
          <w:rFonts w:ascii="阿里巴巴普惠体 R" w:eastAsia="阿里巴巴普惠体 R" w:hAnsi="阿里巴巴普惠体 R" w:cs="阿里巴巴普惠体 R"/>
          <w:color w:val="000000" w:themeColor="text1"/>
          <w:szCs w:val="21"/>
        </w:rPr>
        <w:t>000</w:t>
      </w:r>
      <w:r>
        <w:rPr>
          <w:rFonts w:ascii="阿里巴巴普惠体 R" w:eastAsia="阿里巴巴普惠体 R" w:hAnsi="阿里巴巴普惠体 R" w:cs="阿里巴巴普惠体 R" w:hint="eastAsia"/>
          <w:color w:val="000000" w:themeColor="text1"/>
          <w:szCs w:val="21"/>
        </w:rPr>
        <w:t>单，涉及业务单据原始影像不少于</w:t>
      </w:r>
      <w:r>
        <w:rPr>
          <w:rFonts w:ascii="阿里巴巴普惠体 R" w:eastAsia="阿里巴巴普惠体 R" w:hAnsi="阿里巴巴普惠体 R" w:cs="阿里巴巴普惠体 R"/>
          <w:color w:val="000000" w:themeColor="text1"/>
          <w:szCs w:val="21"/>
        </w:rPr>
        <w:t>10000</w:t>
      </w:r>
      <w:r>
        <w:rPr>
          <w:rFonts w:ascii="阿里巴巴普惠体 R" w:eastAsia="阿里巴巴普惠体 R" w:hAnsi="阿里巴巴普惠体 R" w:cs="阿里巴巴普惠体 R" w:hint="eastAsia"/>
          <w:color w:val="000000" w:themeColor="text1"/>
          <w:szCs w:val="21"/>
        </w:rPr>
        <w:t>个；系统可自动甄别学生</w:t>
      </w:r>
      <w:proofErr w:type="gramStart"/>
      <w:r>
        <w:rPr>
          <w:rFonts w:ascii="阿里巴巴普惠体 R" w:eastAsia="阿里巴巴普惠体 R" w:hAnsi="阿里巴巴普惠体 R" w:cs="阿里巴巴普惠体 R" w:hint="eastAsia"/>
          <w:color w:val="000000" w:themeColor="text1"/>
          <w:szCs w:val="21"/>
        </w:rPr>
        <w:t>抢单结果</w:t>
      </w:r>
      <w:proofErr w:type="gramEnd"/>
      <w:r>
        <w:rPr>
          <w:rFonts w:ascii="阿里巴巴普惠体 R" w:eastAsia="阿里巴巴普惠体 R" w:hAnsi="阿里巴巴普惠体 R" w:cs="阿里巴巴普惠体 R" w:hint="eastAsia"/>
          <w:color w:val="000000" w:themeColor="text1"/>
          <w:szCs w:val="21"/>
        </w:rPr>
        <w:t>的正确性，并通过评价中心中的柱状图随时查看团队任务或个人任</w:t>
      </w:r>
      <w:r>
        <w:rPr>
          <w:rFonts w:ascii="阿里巴巴普惠体 R" w:eastAsia="阿里巴巴普惠体 R" w:hAnsi="阿里巴巴普惠体 R" w:cs="阿里巴巴普惠体 R" w:hint="eastAsia"/>
          <w:color w:val="000000" w:themeColor="text1"/>
          <w:szCs w:val="21"/>
        </w:rPr>
        <w:lastRenderedPageBreak/>
        <w:t>务的人均完成数量、平均处理时长、正确率。教师</w:t>
      </w:r>
      <w:proofErr w:type="gramStart"/>
      <w:r>
        <w:rPr>
          <w:rFonts w:ascii="阿里巴巴普惠体 R" w:eastAsia="阿里巴巴普惠体 R" w:hAnsi="阿里巴巴普惠体 R" w:cs="阿里巴巴普惠体 R" w:hint="eastAsia"/>
          <w:color w:val="000000" w:themeColor="text1"/>
          <w:szCs w:val="21"/>
        </w:rPr>
        <w:t>端开放</w:t>
      </w:r>
      <w:proofErr w:type="gramEnd"/>
      <w:r>
        <w:rPr>
          <w:rFonts w:ascii="阿里巴巴普惠体 R" w:eastAsia="阿里巴巴普惠体 R" w:hAnsi="阿里巴巴普惠体 R" w:cs="阿里巴巴普惠体 R" w:hint="eastAsia"/>
          <w:color w:val="000000" w:themeColor="text1"/>
          <w:szCs w:val="21"/>
        </w:rPr>
        <w:t>共享作业处理答案之后，学生可以通过作业看板查看已处理单据的“学生答案”、“正确答案”、“答案解析”；</w:t>
      </w:r>
    </w:p>
    <w:p w14:paraId="4F61DDAE"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22.</w:t>
      </w:r>
      <w:r>
        <w:rPr>
          <w:rFonts w:ascii="阿里巴巴普惠体 R" w:eastAsia="阿里巴巴普惠体 R" w:hAnsi="阿里巴巴普惠体 R" w:cs="阿里巴巴普惠体 R" w:hint="eastAsia"/>
          <w:color w:val="000000" w:themeColor="text1"/>
          <w:szCs w:val="21"/>
        </w:rPr>
        <w:t>智能共享运营绩效服务：系统提供基于派单、影像、审核、绩效看板、运营报告等一体的智能化共享服务运营门户；从部门、员工、单据等角度进行时效、库存量的统计分析，实现运营服务常用的绩效分析和绩效看板功能。支持共享中心负责人、作业组长、作业人员角色分工；支持查看组织及共享中心作业人员、工作组任务执行情况，从而帮助企业集团了解共享中心运行的效率；有效提高企业在内部管理决策方面的有效性、可靠性、准确性；支持主题定义：包括综合主题定义、中心主题定义、作业人员主题定义、作业</w:t>
      </w:r>
      <w:proofErr w:type="gramStart"/>
      <w:r>
        <w:rPr>
          <w:rFonts w:ascii="阿里巴巴普惠体 R" w:eastAsia="阿里巴巴普惠体 R" w:hAnsi="阿里巴巴普惠体 R" w:cs="阿里巴巴普惠体 R" w:hint="eastAsia"/>
          <w:color w:val="000000" w:themeColor="text1"/>
          <w:szCs w:val="21"/>
        </w:rPr>
        <w:t>组主题</w:t>
      </w:r>
      <w:proofErr w:type="gramEnd"/>
      <w:r>
        <w:rPr>
          <w:rFonts w:ascii="阿里巴巴普惠体 R" w:eastAsia="阿里巴巴普惠体 R" w:hAnsi="阿里巴巴普惠体 R" w:cs="阿里巴巴普惠体 R" w:hint="eastAsia"/>
          <w:color w:val="000000" w:themeColor="text1"/>
          <w:szCs w:val="21"/>
        </w:rPr>
        <w:t>定义。支持看板管理：定义大屏展示的内容与方式，进行看板监控和数据提取。支持实时预览当前面板定义效果，以及整组看板的滚屏效果；</w:t>
      </w:r>
    </w:p>
    <w:p w14:paraId="78823F6A"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23.</w:t>
      </w:r>
      <w:r>
        <w:rPr>
          <w:rFonts w:ascii="阿里巴巴普惠体 R" w:eastAsia="阿里巴巴普惠体 R" w:hAnsi="阿里巴巴普惠体 R" w:cs="阿里巴巴普惠体 R" w:hint="eastAsia"/>
          <w:color w:val="000000" w:themeColor="text1"/>
          <w:szCs w:val="21"/>
        </w:rPr>
        <w:t>员工信用管理：</w:t>
      </w:r>
      <w:r>
        <w:rPr>
          <w:rFonts w:ascii="阿里巴巴普惠体 R" w:eastAsia="阿里巴巴普惠体 R" w:hAnsi="阿里巴巴普惠体 R" w:cs="阿里巴巴普惠体 R"/>
          <w:color w:val="000000" w:themeColor="text1"/>
          <w:szCs w:val="21"/>
        </w:rPr>
        <w:t>可以查看报账人的信用情况</w:t>
      </w:r>
      <w:r>
        <w:rPr>
          <w:rFonts w:ascii="阿里巴巴普惠体 R" w:eastAsia="阿里巴巴普惠体 R" w:hAnsi="阿里巴巴普惠体 R" w:cs="阿里巴巴普惠体 R" w:hint="eastAsia"/>
          <w:color w:val="000000" w:themeColor="text1"/>
          <w:szCs w:val="21"/>
        </w:rPr>
        <w:t>；支持财务共享服务中心</w:t>
      </w:r>
      <w:r>
        <w:rPr>
          <w:rFonts w:ascii="阿里巴巴普惠体 R" w:eastAsia="阿里巴巴普惠体 R" w:hAnsi="阿里巴巴普惠体 R" w:cs="阿里巴巴普惠体 R"/>
          <w:color w:val="000000" w:themeColor="text1"/>
          <w:szCs w:val="21"/>
        </w:rPr>
        <w:t>在审核报账人</w:t>
      </w:r>
      <w:r>
        <w:rPr>
          <w:rFonts w:ascii="阿里巴巴普惠体 R" w:eastAsia="阿里巴巴普惠体 R" w:hAnsi="阿里巴巴普惠体 R" w:cs="阿里巴巴普惠体 R" w:hint="eastAsia"/>
          <w:color w:val="000000" w:themeColor="text1"/>
          <w:szCs w:val="21"/>
        </w:rPr>
        <w:t>的</w:t>
      </w:r>
      <w:r>
        <w:rPr>
          <w:rFonts w:ascii="阿里巴巴普惠体 R" w:eastAsia="阿里巴巴普惠体 R" w:hAnsi="阿里巴巴普惠体 R" w:cs="阿里巴巴普惠体 R"/>
          <w:color w:val="000000" w:themeColor="text1"/>
          <w:szCs w:val="21"/>
        </w:rPr>
        <w:t>单据时，根据单据的填写情况对报账人进行</w:t>
      </w:r>
      <w:r>
        <w:rPr>
          <w:rFonts w:ascii="阿里巴巴普惠体 R" w:eastAsia="阿里巴巴普惠体 R" w:hAnsi="阿里巴巴普惠体 R" w:cs="阿里巴巴普惠体 R" w:hint="eastAsia"/>
          <w:color w:val="000000" w:themeColor="text1"/>
          <w:szCs w:val="21"/>
        </w:rPr>
        <w:t>信用</w:t>
      </w:r>
      <w:r>
        <w:rPr>
          <w:rFonts w:ascii="阿里巴巴普惠体 R" w:eastAsia="阿里巴巴普惠体 R" w:hAnsi="阿里巴巴普惠体 R" w:cs="阿里巴巴普惠体 R"/>
          <w:color w:val="000000" w:themeColor="text1"/>
          <w:szCs w:val="21"/>
        </w:rPr>
        <w:t>评价</w:t>
      </w:r>
      <w:r>
        <w:rPr>
          <w:rFonts w:ascii="阿里巴巴普惠体 R" w:eastAsia="阿里巴巴普惠体 R" w:hAnsi="阿里巴巴普惠体 R" w:cs="阿里巴巴普惠体 R" w:hint="eastAsia"/>
          <w:color w:val="000000" w:themeColor="text1"/>
          <w:szCs w:val="21"/>
        </w:rPr>
        <w:t>；</w:t>
      </w:r>
    </w:p>
    <w:p w14:paraId="37C7B23B"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24.</w:t>
      </w:r>
      <w:r>
        <w:rPr>
          <w:rFonts w:ascii="阿里巴巴普惠体 R" w:eastAsia="阿里巴巴普惠体 R" w:hAnsi="阿里巴巴普惠体 R" w:cs="阿里巴巴普惠体 R" w:hint="eastAsia"/>
          <w:color w:val="000000" w:themeColor="text1"/>
          <w:szCs w:val="21"/>
        </w:rPr>
        <w:t>共享中心知识管理：支持</w:t>
      </w:r>
      <w:r>
        <w:rPr>
          <w:rFonts w:ascii="阿里巴巴普惠体 R" w:eastAsia="阿里巴巴普惠体 R" w:hAnsi="阿里巴巴普惠体 R" w:cs="阿里巴巴普惠体 R"/>
          <w:color w:val="000000" w:themeColor="text1"/>
          <w:szCs w:val="21"/>
        </w:rPr>
        <w:t>管理</w:t>
      </w:r>
      <w:r>
        <w:rPr>
          <w:rFonts w:ascii="阿里巴巴普惠体 R" w:eastAsia="阿里巴巴普惠体 R" w:hAnsi="阿里巴巴普惠体 R" w:cs="阿里巴巴普惠体 R" w:hint="eastAsia"/>
          <w:color w:val="000000" w:themeColor="text1"/>
          <w:szCs w:val="21"/>
        </w:rPr>
        <w:t>人</w:t>
      </w:r>
      <w:r>
        <w:rPr>
          <w:rFonts w:ascii="阿里巴巴普惠体 R" w:eastAsia="阿里巴巴普惠体 R" w:hAnsi="阿里巴巴普惠体 R" w:cs="阿里巴巴普惠体 R"/>
          <w:color w:val="000000" w:themeColor="text1"/>
          <w:szCs w:val="21"/>
        </w:rPr>
        <w:t>员将企业公共的知识如:报销制度、业务的操作指引等与具体业务关联，使员工</w:t>
      </w:r>
      <w:r>
        <w:rPr>
          <w:rFonts w:ascii="阿里巴巴普惠体 R" w:eastAsia="阿里巴巴普惠体 R" w:hAnsi="阿里巴巴普惠体 R" w:cs="阿里巴巴普惠体 R" w:hint="eastAsia"/>
          <w:color w:val="000000" w:themeColor="text1"/>
          <w:szCs w:val="21"/>
        </w:rPr>
        <w:t>（学生）</w:t>
      </w:r>
      <w:r>
        <w:rPr>
          <w:rFonts w:ascii="阿里巴巴普惠体 R" w:eastAsia="阿里巴巴普惠体 R" w:hAnsi="阿里巴巴普惠体 R" w:cs="阿里巴巴普惠体 R"/>
          <w:color w:val="000000" w:themeColor="text1"/>
          <w:szCs w:val="21"/>
        </w:rPr>
        <w:t>处理业务时可方便查看</w:t>
      </w:r>
      <w:r>
        <w:rPr>
          <w:rFonts w:ascii="阿里巴巴普惠体 R" w:eastAsia="阿里巴巴普惠体 R" w:hAnsi="阿里巴巴普惠体 R" w:cs="阿里巴巴普惠体 R" w:hint="eastAsia"/>
          <w:color w:val="000000" w:themeColor="text1"/>
          <w:szCs w:val="21"/>
        </w:rPr>
        <w:t>；支持发布</w:t>
      </w:r>
      <w:r>
        <w:rPr>
          <w:rFonts w:ascii="阿里巴巴普惠体 R" w:eastAsia="阿里巴巴普惠体 R" w:hAnsi="阿里巴巴普惠体 R" w:cs="阿里巴巴普惠体 R"/>
          <w:color w:val="000000" w:themeColor="text1"/>
          <w:szCs w:val="21"/>
        </w:rPr>
        <w:t>公共知识，供搜索并查看</w:t>
      </w:r>
      <w:r>
        <w:rPr>
          <w:rFonts w:ascii="阿里巴巴普惠体 R" w:eastAsia="阿里巴巴普惠体 R" w:hAnsi="阿里巴巴普惠体 R" w:cs="阿里巴巴普惠体 R" w:hint="eastAsia"/>
          <w:color w:val="000000" w:themeColor="text1"/>
          <w:szCs w:val="21"/>
        </w:rPr>
        <w:t>；支持对</w:t>
      </w:r>
      <w:r>
        <w:rPr>
          <w:rFonts w:ascii="阿里巴巴普惠体 R" w:eastAsia="阿里巴巴普惠体 R" w:hAnsi="阿里巴巴普惠体 R" w:cs="阿里巴巴普惠体 R"/>
          <w:color w:val="000000" w:themeColor="text1"/>
          <w:szCs w:val="21"/>
        </w:rPr>
        <w:t>报账业务进行简要说明，在报账平台的菜单上可看到</w:t>
      </w:r>
      <w:r>
        <w:rPr>
          <w:rFonts w:ascii="阿里巴巴普惠体 R" w:eastAsia="阿里巴巴普惠体 R" w:hAnsi="阿里巴巴普惠体 R" w:cs="阿里巴巴普惠体 R" w:hint="eastAsia"/>
          <w:color w:val="000000" w:themeColor="text1"/>
          <w:szCs w:val="21"/>
        </w:rPr>
        <w:t>单据对应的业务说明；</w:t>
      </w:r>
    </w:p>
    <w:p w14:paraId="030D4A7E"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25.</w:t>
      </w:r>
      <w:r>
        <w:rPr>
          <w:rFonts w:ascii="阿里巴巴普惠体 R" w:eastAsia="阿里巴巴普惠体 R" w:hAnsi="阿里巴巴普惠体 R" w:cs="阿里巴巴普惠体 R" w:hint="eastAsia"/>
          <w:color w:val="000000" w:themeColor="text1"/>
          <w:szCs w:val="21"/>
        </w:rPr>
        <w:t>共享服务稽核管理：在周期性的稽核任务下，从指定的作业单据范围中精确地把目标单据抽取出来并进行稽核，发现其中的错误后进行纠正并记录和报告的过程。支持由质检经理定期不定期发起稽核任务，确定稽核方案；支持稽核任务分配给相应稽核员，抽取单据，对经过共享服务中心处理的财务单据进行抽查检验；支持按照组织、交易类型、日期范围、金额大小、业务组等维度定义抽样范围来定义稽核任务；支持稽核报告生成时，会以当前任务的单据抽取及稽核结果，自动计算当前任务下的待检单据数据、样本数量、抽样比例、实际抽样数量、实际抽样比例、已稽核单据、问题单据数量、问题单据占比等内容，统计和显示稽核出的问题类型及次数。支持联查某个具体类型下的单据详细信息同时给出稽核评分建议和稽核评价结果；</w:t>
      </w:r>
    </w:p>
    <w:p w14:paraId="2FEF7B12"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lastRenderedPageBreak/>
        <w:t>26.</w:t>
      </w:r>
      <w:r>
        <w:rPr>
          <w:rFonts w:ascii="阿里巴巴普惠体 R" w:eastAsia="阿里巴巴普惠体 R" w:hAnsi="阿里巴巴普惠体 R" w:cs="阿里巴巴普惠体 R" w:hint="eastAsia"/>
          <w:color w:val="000000" w:themeColor="text1"/>
          <w:szCs w:val="21"/>
        </w:rPr>
        <w:t>仿真商旅服务平台：</w:t>
      </w:r>
      <w:r>
        <w:rPr>
          <w:rFonts w:ascii="阿里巴巴普惠体 R" w:eastAsia="阿里巴巴普惠体 R" w:hAnsi="阿里巴巴普惠体 R" w:cs="阿里巴巴普惠体 R"/>
          <w:color w:val="000000" w:themeColor="text1"/>
          <w:szCs w:val="21"/>
        </w:rPr>
        <w:t xml:space="preserve"> </w:t>
      </w:r>
      <w:r>
        <w:rPr>
          <w:rFonts w:ascii="阿里巴巴普惠体 R" w:eastAsia="阿里巴巴普惠体 R" w:hAnsi="阿里巴巴普惠体 R" w:cs="阿里巴巴普惠体 R" w:hint="eastAsia"/>
          <w:color w:val="000000" w:themeColor="text1"/>
          <w:szCs w:val="21"/>
        </w:rPr>
        <w:t>提供电脑和手机移动报账功能，支持教学应用系统与仿真移动商旅无缝集成，实现移动报销平台与社会化商业平台连接，如出行服务，商旅服务等，使得相关报销数据自动流转到共享中心报账平台，打通服务预定、自动报账、</w:t>
      </w:r>
      <w:proofErr w:type="gramStart"/>
      <w:r>
        <w:rPr>
          <w:rFonts w:ascii="阿里巴巴普惠体 R" w:eastAsia="阿里巴巴普惠体 R" w:hAnsi="阿里巴巴普惠体 R" w:cs="阿里巴巴普惠体 R" w:hint="eastAsia"/>
          <w:color w:val="000000" w:themeColor="text1"/>
          <w:szCs w:val="21"/>
        </w:rPr>
        <w:t>网银支付</w:t>
      </w:r>
      <w:proofErr w:type="gramEnd"/>
      <w:r>
        <w:rPr>
          <w:rFonts w:ascii="阿里巴巴普惠体 R" w:eastAsia="阿里巴巴普惠体 R" w:hAnsi="阿里巴巴普惠体 R" w:cs="阿里巴巴普惠体 R" w:hint="eastAsia"/>
          <w:color w:val="000000" w:themeColor="text1"/>
          <w:szCs w:val="21"/>
        </w:rPr>
        <w:t>、自动凭证一体化整合应用。学生通过此工作应用完成预订机票、打车、酒店，形成差旅费报销单，支持事前预算事中控制事后分析的费用管控学习；</w:t>
      </w:r>
    </w:p>
    <w:p w14:paraId="11513D55"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27.</w:t>
      </w:r>
      <w:r>
        <w:rPr>
          <w:rFonts w:ascii="阿里巴巴普惠体 R" w:eastAsia="阿里巴巴普惠体 R" w:hAnsi="阿里巴巴普惠体 R" w:cs="阿里巴巴普惠体 R" w:hint="eastAsia"/>
          <w:color w:val="000000" w:themeColor="text1"/>
          <w:szCs w:val="21"/>
        </w:rPr>
        <w:t>电子影像系统：共享服务作业平台与电子影像系统集成，支持手机、</w:t>
      </w:r>
      <w:proofErr w:type="gramStart"/>
      <w:r>
        <w:rPr>
          <w:rFonts w:ascii="阿里巴巴普惠体 R" w:eastAsia="阿里巴巴普惠体 R" w:hAnsi="阿里巴巴普惠体 R" w:cs="阿里巴巴普惠体 R" w:hint="eastAsia"/>
          <w:color w:val="000000" w:themeColor="text1"/>
          <w:szCs w:val="21"/>
        </w:rPr>
        <w:t>高拍仪</w:t>
      </w:r>
      <w:proofErr w:type="gramEnd"/>
      <w:r>
        <w:rPr>
          <w:rFonts w:ascii="阿里巴巴普惠体 R" w:eastAsia="阿里巴巴普惠体 R" w:hAnsi="阿里巴巴普惠体 R" w:cs="阿里巴巴普惠体 R" w:hint="eastAsia"/>
          <w:color w:val="000000" w:themeColor="text1"/>
          <w:szCs w:val="21"/>
        </w:rPr>
        <w:t xml:space="preserve">等进行扫描或拍照上传原始凭证的影像档案，财务共享服务中心基于原始凭证的影像档案进行审核； </w:t>
      </w:r>
    </w:p>
    <w:p w14:paraId="74AA9D8C"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28.</w:t>
      </w:r>
      <w:r>
        <w:rPr>
          <w:rFonts w:ascii="阿里巴巴普惠体 R" w:eastAsia="阿里巴巴普惠体 R" w:hAnsi="阿里巴巴普惠体 R" w:cs="阿里巴巴普惠体 R" w:hint="eastAsia"/>
          <w:color w:val="000000" w:themeColor="text1"/>
          <w:szCs w:val="21"/>
        </w:rPr>
        <w:t>影像平台实现业务系统运营集中化、纸质单据影像化、业务流程处理便捷化的基础技术服务平台。</w:t>
      </w:r>
    </w:p>
    <w:p w14:paraId="506B027D" w14:textId="77777777" w:rsidR="000807F0" w:rsidRDefault="00000000" w:rsidP="000C109D">
      <w:pPr>
        <w:spacing w:line="360" w:lineRule="auto"/>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29.</w:t>
      </w:r>
      <w:r>
        <w:rPr>
          <w:rFonts w:ascii="阿里巴巴普惠体 R" w:eastAsia="阿里巴巴普惠体 R" w:hAnsi="阿里巴巴普惠体 R" w:cs="阿里巴巴普惠体 R" w:hint="eastAsia"/>
          <w:color w:val="000000" w:themeColor="text1"/>
          <w:szCs w:val="21"/>
        </w:rPr>
        <w:t>支持影像采集：影像分享、影像池功能，要求能够实现先扫描后提交单据；</w:t>
      </w:r>
    </w:p>
    <w:p w14:paraId="344B4E5A"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30.</w:t>
      </w:r>
      <w:r>
        <w:rPr>
          <w:rFonts w:ascii="阿里巴巴普惠体 R" w:eastAsia="阿里巴巴普惠体 R" w:hAnsi="阿里巴巴普惠体 R" w:cs="阿里巴巴普惠体 R" w:hint="eastAsia"/>
          <w:color w:val="000000" w:themeColor="text1"/>
          <w:szCs w:val="21"/>
        </w:rPr>
        <w:t>影像预处理：影像自动去黑边、转正；</w:t>
      </w:r>
    </w:p>
    <w:p w14:paraId="48099D79"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31.</w:t>
      </w:r>
      <w:r>
        <w:rPr>
          <w:rFonts w:ascii="阿里巴巴普惠体 R" w:eastAsia="阿里巴巴普惠体 R" w:hAnsi="阿里巴巴普惠体 R" w:cs="阿里巴巴普惠体 R" w:hint="eastAsia"/>
          <w:color w:val="000000" w:themeColor="text1"/>
          <w:szCs w:val="21"/>
        </w:rPr>
        <w:t>条码识别：扫描过程中，系统会自动识别报账单或凭证中的条码，将识别结果作为影像的索引数据进行保存；</w:t>
      </w:r>
    </w:p>
    <w:p w14:paraId="33EB0F70"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32.</w:t>
      </w:r>
      <w:r>
        <w:rPr>
          <w:rFonts w:ascii="阿里巴巴普惠体 R" w:eastAsia="阿里巴巴普惠体 R" w:hAnsi="阿里巴巴普惠体 R" w:cs="阿里巴巴普惠体 R" w:hint="eastAsia"/>
          <w:color w:val="000000" w:themeColor="text1"/>
          <w:szCs w:val="21"/>
        </w:rPr>
        <w:t>影像编辑：对影像进行保存操作，调整影像的页号顺序、影像旋转、删除影像、影像大小缩放；</w:t>
      </w:r>
    </w:p>
    <w:p w14:paraId="5BBC056A"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33.</w:t>
      </w:r>
      <w:r>
        <w:rPr>
          <w:rFonts w:ascii="阿里巴巴普惠体 R" w:eastAsia="阿里巴巴普惠体 R" w:hAnsi="阿里巴巴普惠体 R" w:cs="阿里巴巴普惠体 R" w:hint="eastAsia"/>
          <w:color w:val="000000" w:themeColor="text1"/>
          <w:szCs w:val="21"/>
        </w:rPr>
        <w:t>影像驳回：对于驳回的影像，可以重新扫描、修改；</w:t>
      </w:r>
    </w:p>
    <w:p w14:paraId="5728A985"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34.</w:t>
      </w:r>
      <w:r>
        <w:rPr>
          <w:rFonts w:ascii="阿里巴巴普惠体 R" w:eastAsia="阿里巴巴普惠体 R" w:hAnsi="阿里巴巴普惠体 R" w:cs="阿里巴巴普惠体 R" w:hint="eastAsia"/>
          <w:color w:val="000000" w:themeColor="text1"/>
          <w:szCs w:val="21"/>
        </w:rPr>
        <w:t>支持本地PDF、图片等的导入；</w:t>
      </w:r>
    </w:p>
    <w:p w14:paraId="4DFC3060"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35.</w:t>
      </w:r>
      <w:r>
        <w:rPr>
          <w:rFonts w:ascii="阿里巴巴普惠体 R" w:eastAsia="阿里巴巴普惠体 R" w:hAnsi="阿里巴巴普惠体 R" w:cs="阿里巴巴普惠体 R" w:hint="eastAsia"/>
          <w:color w:val="000000" w:themeColor="text1"/>
          <w:szCs w:val="21"/>
        </w:rPr>
        <w:t>支持图像调阅、展示</w:t>
      </w:r>
    </w:p>
    <w:p w14:paraId="5ED8C3A4"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36.</w:t>
      </w:r>
      <w:r>
        <w:rPr>
          <w:rFonts w:ascii="阿里巴巴普惠体 R" w:eastAsia="阿里巴巴普惠体 R" w:hAnsi="阿里巴巴普惠体 R" w:cs="阿里巴巴普惠体 R" w:hint="eastAsia"/>
          <w:color w:val="000000" w:themeColor="text1"/>
          <w:szCs w:val="21"/>
        </w:rPr>
        <w:t>影像放大、缩小:对影像进行操作；</w:t>
      </w:r>
    </w:p>
    <w:p w14:paraId="3CD65294"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37.</w:t>
      </w:r>
      <w:r>
        <w:rPr>
          <w:rFonts w:ascii="阿里巴巴普惠体 R" w:eastAsia="阿里巴巴普惠体 R" w:hAnsi="阿里巴巴普惠体 R" w:cs="阿里巴巴普惠体 R" w:hint="eastAsia"/>
          <w:color w:val="000000" w:themeColor="text1"/>
          <w:szCs w:val="21"/>
        </w:rPr>
        <w:t>影像旋转：对影像进行旋转操作；</w:t>
      </w:r>
    </w:p>
    <w:p w14:paraId="052AD61B"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38.</w:t>
      </w:r>
      <w:r>
        <w:rPr>
          <w:rFonts w:ascii="阿里巴巴普惠体 R" w:eastAsia="阿里巴巴普惠体 R" w:hAnsi="阿里巴巴普惠体 R" w:cs="阿里巴巴普惠体 R" w:hint="eastAsia"/>
          <w:color w:val="000000" w:themeColor="text1"/>
          <w:szCs w:val="21"/>
        </w:rPr>
        <w:t>高适合、宽适合：对影像进行高度自适应、宽度自适应显示；</w:t>
      </w:r>
    </w:p>
    <w:p w14:paraId="57647138"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39.</w:t>
      </w:r>
      <w:r>
        <w:rPr>
          <w:rFonts w:ascii="阿里巴巴普惠体 R" w:eastAsia="阿里巴巴普惠体 R" w:hAnsi="阿里巴巴普惠体 R" w:cs="阿里巴巴普惠体 R" w:hint="eastAsia"/>
          <w:color w:val="000000" w:themeColor="text1"/>
          <w:szCs w:val="21"/>
        </w:rPr>
        <w:t>原始图像：对采集到的影像进行原始大小展示；</w:t>
      </w:r>
    </w:p>
    <w:p w14:paraId="43586003"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40.</w:t>
      </w:r>
      <w:r>
        <w:rPr>
          <w:rFonts w:ascii="阿里巴巴普惠体 R" w:eastAsia="阿里巴巴普惠体 R" w:hAnsi="阿里巴巴普惠体 R" w:cs="阿里巴巴普惠体 R" w:hint="eastAsia"/>
          <w:color w:val="000000" w:themeColor="text1"/>
          <w:szCs w:val="21"/>
        </w:rPr>
        <w:t>支持图像识别</w:t>
      </w:r>
    </w:p>
    <w:p w14:paraId="306837CB"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41.</w:t>
      </w:r>
      <w:r>
        <w:rPr>
          <w:rFonts w:ascii="阿里巴巴普惠体 R" w:eastAsia="阿里巴巴普惠体 R" w:hAnsi="阿里巴巴普惠体 R" w:cs="阿里巴巴普惠体 R" w:hint="eastAsia"/>
          <w:color w:val="000000" w:themeColor="text1"/>
          <w:szCs w:val="21"/>
        </w:rPr>
        <w:t>OCR识别发票类型：纸质普通发票、电子普通发票打印件、专用发票、运输类发票；</w:t>
      </w:r>
    </w:p>
    <w:p w14:paraId="29314562"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42.</w:t>
      </w:r>
      <w:r>
        <w:rPr>
          <w:rFonts w:ascii="阿里巴巴普惠体 R" w:eastAsia="阿里巴巴普惠体 R" w:hAnsi="阿里巴巴普惠体 R" w:cs="阿里巴巴普惠体 R" w:hint="eastAsia"/>
          <w:color w:val="000000" w:themeColor="text1"/>
          <w:szCs w:val="21"/>
        </w:rPr>
        <w:t>识别内容：票面全部信息；</w:t>
      </w:r>
    </w:p>
    <w:p w14:paraId="623F83E3"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43.</w:t>
      </w:r>
      <w:r>
        <w:rPr>
          <w:rFonts w:ascii="阿里巴巴普惠体 R" w:eastAsia="阿里巴巴普惠体 R" w:hAnsi="阿里巴巴普惠体 R" w:cs="阿里巴巴普惠体 R" w:hint="eastAsia"/>
          <w:color w:val="000000" w:themeColor="text1"/>
          <w:szCs w:val="21"/>
        </w:rPr>
        <w:t>版式识别，自动区分（纸质普通发票、电子普通发票打印件、专用发票）；</w:t>
      </w:r>
    </w:p>
    <w:p w14:paraId="39B379A7"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lang w:val="en-US"/>
        </w:rPr>
      </w:pPr>
      <w:r>
        <w:rPr>
          <w:rFonts w:ascii="阿里巴巴普惠体 R" w:eastAsia="阿里巴巴普惠体 R" w:hAnsi="阿里巴巴普惠体 R" w:cs="阿里巴巴普惠体 R" w:hint="eastAsia"/>
          <w:color w:val="000000" w:themeColor="text1"/>
          <w:szCs w:val="21"/>
          <w:lang w:val="en-US"/>
        </w:rPr>
        <w:lastRenderedPageBreak/>
        <w:t>44.</w:t>
      </w:r>
      <w:r>
        <w:rPr>
          <w:rFonts w:ascii="阿里巴巴普惠体 R" w:eastAsia="阿里巴巴普惠体 R" w:hAnsi="阿里巴巴普惠体 R" w:cs="阿里巴巴普惠体 R" w:hint="eastAsia"/>
          <w:color w:val="000000" w:themeColor="text1"/>
          <w:szCs w:val="21"/>
        </w:rPr>
        <w:t>文字方向识别：可以对0°、90°、180°、270°的图像，自动转正；</w:t>
      </w:r>
    </w:p>
    <w:p w14:paraId="354EBB82"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45.</w:t>
      </w:r>
      <w:r>
        <w:rPr>
          <w:rFonts w:ascii="阿里巴巴普惠体 R" w:eastAsia="阿里巴巴普惠体 R" w:hAnsi="阿里巴巴普惠体 R" w:cs="阿里巴巴普惠体 R" w:hint="eastAsia"/>
          <w:color w:val="000000" w:themeColor="text1"/>
          <w:szCs w:val="21"/>
        </w:rPr>
        <w:t>图像对比：要求能够对同一张票据采集的影像进行图像对比，识别两张影像</w:t>
      </w:r>
      <w:r>
        <w:rPr>
          <w:rFonts w:ascii="阿里巴巴普惠体 R" w:eastAsia="阿里巴巴普惠体 R" w:hAnsi="阿里巴巴普惠体 R" w:cs="阿里巴巴普惠体 R" w:hint="eastAsia"/>
          <w:color w:val="000000" w:themeColor="text1"/>
          <w:szCs w:val="21"/>
          <w:lang w:val="en-US"/>
        </w:rPr>
        <w:t>46.</w:t>
      </w:r>
      <w:r>
        <w:rPr>
          <w:rFonts w:ascii="阿里巴巴普惠体 R" w:eastAsia="阿里巴巴普惠体 R" w:hAnsi="阿里巴巴普惠体 R" w:cs="阿里巴巴普惠体 R" w:hint="eastAsia"/>
          <w:color w:val="000000" w:themeColor="text1"/>
          <w:szCs w:val="21"/>
        </w:rPr>
        <w:t>是否为来源于同一份票据，识别率正确率不低于75%。</w:t>
      </w:r>
    </w:p>
    <w:p w14:paraId="287C3AC7"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lang w:val="en-US"/>
        </w:rPr>
      </w:pPr>
      <w:r>
        <w:rPr>
          <w:rFonts w:ascii="阿里巴巴普惠体 R" w:eastAsia="阿里巴巴普惠体 R" w:hAnsi="阿里巴巴普惠体 R" w:cs="阿里巴巴普惠体 R" w:hint="eastAsia"/>
          <w:color w:val="000000" w:themeColor="text1"/>
          <w:szCs w:val="21"/>
          <w:lang w:val="en-US"/>
        </w:rPr>
        <w:t>47.</w:t>
      </w:r>
      <w:r>
        <w:rPr>
          <w:rFonts w:ascii="阿里巴巴普惠体 R" w:eastAsia="阿里巴巴普惠体 R" w:hAnsi="阿里巴巴普惠体 R" w:cs="阿里巴巴普惠体 R" w:hint="eastAsia"/>
          <w:color w:val="000000" w:themeColor="text1"/>
          <w:szCs w:val="21"/>
        </w:rPr>
        <w:t>支持影像存储；支持分布式存储；支持集中存储；支持缓存技术；支持文件格式：JPEG、GIF、PNG、PDF</w:t>
      </w:r>
      <w:r>
        <w:rPr>
          <w:rFonts w:ascii="阿里巴巴普惠体 R" w:eastAsia="阿里巴巴普惠体 R" w:hAnsi="阿里巴巴普惠体 R" w:cs="阿里巴巴普惠体 R" w:hint="eastAsia"/>
          <w:color w:val="000000" w:themeColor="text1"/>
          <w:szCs w:val="21"/>
          <w:lang w:val="en-US"/>
        </w:rPr>
        <w:t>.</w:t>
      </w:r>
    </w:p>
    <w:p w14:paraId="40E7A1E2"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48.</w:t>
      </w:r>
      <w:r>
        <w:rPr>
          <w:rFonts w:ascii="阿里巴巴普惠体 R" w:eastAsia="阿里巴巴普惠体 R" w:hAnsi="阿里巴巴普惠体 R" w:cs="阿里巴巴普惠体 R" w:hint="eastAsia"/>
          <w:color w:val="000000" w:themeColor="text1"/>
          <w:szCs w:val="21"/>
        </w:rPr>
        <w:t>支持组织机构管理：组织机构信息的管理以及隶属于机构；</w:t>
      </w:r>
    </w:p>
    <w:p w14:paraId="113A40C8"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49.</w:t>
      </w:r>
      <w:r>
        <w:rPr>
          <w:rFonts w:ascii="阿里巴巴普惠体 R" w:eastAsia="阿里巴巴普惠体 R" w:hAnsi="阿里巴巴普惠体 R" w:cs="阿里巴巴普惠体 R" w:hint="eastAsia"/>
          <w:color w:val="000000" w:themeColor="text1"/>
          <w:szCs w:val="21"/>
        </w:rPr>
        <w:t>用户管理：可以配置用户的角色等信息，用户体系是系统中非常重要的部分，用户的权限继承群组的权限和角色的功能权限，并且用户按照组织机构来分组；</w:t>
      </w:r>
    </w:p>
    <w:p w14:paraId="02D3FECB"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50.</w:t>
      </w:r>
      <w:r>
        <w:rPr>
          <w:rFonts w:ascii="阿里巴巴普惠体 R" w:eastAsia="阿里巴巴普惠体 R" w:hAnsi="阿里巴巴普惠体 R" w:cs="阿里巴巴普惠体 R" w:hint="eastAsia"/>
          <w:color w:val="000000" w:themeColor="text1"/>
          <w:szCs w:val="21"/>
        </w:rPr>
        <w:t>角色管理：能够根据影像系统职能分工（系统管理员、扫描岗、审核岗、查询岗等），对操作权限、内容范围权限进行配置。配置（新建、编辑、删除）及查询不同的系统角色；</w:t>
      </w:r>
    </w:p>
    <w:p w14:paraId="19E265D3"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51.</w:t>
      </w:r>
      <w:r>
        <w:rPr>
          <w:rFonts w:ascii="阿里巴巴普惠体 R" w:eastAsia="阿里巴巴普惠体 R" w:hAnsi="阿里巴巴普惠体 R" w:cs="阿里巴巴普惠体 R" w:hint="eastAsia"/>
          <w:color w:val="000000" w:themeColor="text1"/>
          <w:szCs w:val="21"/>
        </w:rPr>
        <w:t>工作流管理：工作流程是在业务系统中经常遇到的需要按照一定的步骤来顺序执行的业务的抽象；</w:t>
      </w:r>
    </w:p>
    <w:p w14:paraId="1D690C59"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52.</w:t>
      </w:r>
      <w:r>
        <w:rPr>
          <w:rFonts w:ascii="阿里巴巴普惠体 R" w:eastAsia="阿里巴巴普惠体 R" w:hAnsi="阿里巴巴普惠体 R" w:cs="阿里巴巴普惠体 R" w:hint="eastAsia"/>
          <w:color w:val="000000" w:themeColor="text1"/>
          <w:szCs w:val="21"/>
        </w:rPr>
        <w:t>日志管理：对数据的任何更新操作（如：增加、修改、删除），把相关操作的命令、执行时间、数据的更新等信息保存下来；支持系统管理员权限的用户才能对日志进行管理；支持日志内容的检索，并可以按照时间范围进行检索。</w:t>
      </w:r>
    </w:p>
    <w:p w14:paraId="620B81C1"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53.</w:t>
      </w:r>
      <w:r>
        <w:rPr>
          <w:rFonts w:ascii="阿里巴巴普惠体 R" w:eastAsia="阿里巴巴普惠体 R" w:hAnsi="阿里巴巴普惠体 R" w:cs="阿里巴巴普惠体 R" w:hint="eastAsia"/>
          <w:color w:val="000000" w:themeColor="text1"/>
          <w:szCs w:val="21"/>
        </w:rPr>
        <w:t>影像平台拥有良好的开放性和兼容性，支持企业各业务系统提供应用接口，实现基于影像平台的各应用系统的集成，为财务共享服务提供强有力的影像技术支撑。</w:t>
      </w:r>
    </w:p>
    <w:p w14:paraId="6E7DB7A1"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54.</w:t>
      </w:r>
      <w:r>
        <w:rPr>
          <w:rFonts w:ascii="阿里巴巴普惠体 R" w:eastAsia="阿里巴巴普惠体 R" w:hAnsi="阿里巴巴普惠体 R" w:cs="阿里巴巴普惠体 R" w:hint="eastAsia"/>
          <w:color w:val="000000" w:themeColor="text1"/>
          <w:szCs w:val="21"/>
        </w:rPr>
        <w:t>采用BS结构设计；</w:t>
      </w:r>
    </w:p>
    <w:p w14:paraId="67FA989E"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55.</w:t>
      </w:r>
      <w:r>
        <w:rPr>
          <w:rFonts w:ascii="阿里巴巴普惠体 R" w:eastAsia="阿里巴巴普惠体 R" w:hAnsi="阿里巴巴普惠体 R" w:cs="阿里巴巴普惠体 R" w:hint="eastAsia"/>
          <w:color w:val="000000" w:themeColor="text1"/>
          <w:szCs w:val="21"/>
        </w:rPr>
        <w:t>数据库支持：Oracle、DB2、MySQL、SQL Server；</w:t>
      </w:r>
    </w:p>
    <w:p w14:paraId="13BDCC6E"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56.</w:t>
      </w:r>
      <w:r>
        <w:rPr>
          <w:rFonts w:ascii="阿里巴巴普惠体 R" w:eastAsia="阿里巴巴普惠体 R" w:hAnsi="阿里巴巴普惠体 R" w:cs="阿里巴巴普惠体 R" w:hint="eastAsia"/>
          <w:color w:val="000000" w:themeColor="text1"/>
          <w:szCs w:val="21"/>
        </w:rPr>
        <w:t>操作系统支持：Windows、Linux、Unix等；</w:t>
      </w:r>
    </w:p>
    <w:p w14:paraId="73584211"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57.</w:t>
      </w:r>
      <w:r>
        <w:rPr>
          <w:rFonts w:ascii="阿里巴巴普惠体 R" w:eastAsia="阿里巴巴普惠体 R" w:hAnsi="阿里巴巴普惠体 R" w:cs="阿里巴巴普惠体 R" w:hint="eastAsia"/>
          <w:color w:val="000000" w:themeColor="text1"/>
          <w:szCs w:val="21"/>
        </w:rPr>
        <w:t>中间件支持：Websphere、Weblogic、Tomcat；</w:t>
      </w:r>
    </w:p>
    <w:p w14:paraId="1BEB8987"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58.</w:t>
      </w:r>
      <w:r>
        <w:rPr>
          <w:rFonts w:ascii="阿里巴巴普惠体 R" w:eastAsia="阿里巴巴普惠体 R" w:hAnsi="阿里巴巴普惠体 R" w:cs="阿里巴巴普惠体 R" w:hint="eastAsia"/>
          <w:color w:val="000000" w:themeColor="text1"/>
          <w:szCs w:val="21"/>
        </w:rPr>
        <w:t>支持集群部署；支持负载均衡。</w:t>
      </w:r>
    </w:p>
    <w:p w14:paraId="3607C38E"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59.</w:t>
      </w:r>
      <w:r>
        <w:rPr>
          <w:rFonts w:ascii="阿里巴巴普惠体 R" w:eastAsia="阿里巴巴普惠体 R" w:hAnsi="阿里巴巴普惠体 R" w:cs="阿里巴巴普惠体 R" w:hint="eastAsia"/>
          <w:color w:val="000000" w:themeColor="text1"/>
          <w:szCs w:val="21"/>
        </w:rPr>
        <w:t>预算控制：运用全面预算管理进行报销费用事前控制，对于超预算的业务自动预警，自动控制；</w:t>
      </w:r>
    </w:p>
    <w:p w14:paraId="62E5EB50"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60.</w:t>
      </w:r>
      <w:r>
        <w:rPr>
          <w:rFonts w:ascii="阿里巴巴普惠体 R" w:eastAsia="阿里巴巴普惠体 R" w:hAnsi="阿里巴巴普惠体 R" w:cs="阿里巴巴普惠体 R" w:hint="eastAsia"/>
          <w:color w:val="000000" w:themeColor="text1"/>
          <w:szCs w:val="21"/>
        </w:rPr>
        <w:t>共享大数据看板：支持学生可以定义多组绩效看板，同时在多个大屏上展示不同的内容。每组绩效看板可以定义多块展板，每块展板可以设置不同的停留时间。每块展板支持按照16 宫格细分，可以自由合并或拆分，并定义展示内容；</w:t>
      </w:r>
    </w:p>
    <w:p w14:paraId="298135E7"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lastRenderedPageBreak/>
        <w:t>61.</w:t>
      </w:r>
      <w:r>
        <w:rPr>
          <w:rFonts w:ascii="阿里巴巴普惠体 R" w:eastAsia="阿里巴巴普惠体 R" w:hAnsi="阿里巴巴普惠体 R" w:cs="阿里巴巴普惠体 R" w:hint="eastAsia"/>
          <w:color w:val="000000" w:themeColor="text1"/>
          <w:szCs w:val="21"/>
        </w:rPr>
        <w:t>网上银行：提供资金结算的</w:t>
      </w:r>
      <w:proofErr w:type="gramStart"/>
      <w:r>
        <w:rPr>
          <w:rFonts w:ascii="阿里巴巴普惠体 R" w:eastAsia="阿里巴巴普惠体 R" w:hAnsi="阿里巴巴普惠体 R" w:cs="阿里巴巴普惠体 R" w:hint="eastAsia"/>
          <w:color w:val="000000" w:themeColor="text1"/>
          <w:szCs w:val="21"/>
        </w:rPr>
        <w:t>银企直联</w:t>
      </w:r>
      <w:proofErr w:type="gramEnd"/>
      <w:r>
        <w:rPr>
          <w:rFonts w:ascii="阿里巴巴普惠体 R" w:eastAsia="阿里巴巴普惠体 R" w:hAnsi="阿里巴巴普惠体 R" w:cs="阿里巴巴普惠体 R" w:hint="eastAsia"/>
          <w:color w:val="000000" w:themeColor="text1"/>
          <w:szCs w:val="21"/>
        </w:rPr>
        <w:t>功能，支持教学应用系统与虚拟银行的无缝集成；实现资金集中自动支付；支持银行收支账户明细查询、下载。</w:t>
      </w:r>
    </w:p>
    <w:p w14:paraId="5CFDB097"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62.</w:t>
      </w:r>
      <w:r>
        <w:rPr>
          <w:rFonts w:ascii="阿里巴巴普惠体 R" w:eastAsia="阿里巴巴普惠体 R" w:hAnsi="阿里巴巴普惠体 R" w:cs="阿里巴巴普惠体 R"/>
          <w:color w:val="000000" w:themeColor="text1"/>
          <w:szCs w:val="21"/>
        </w:rPr>
        <w:t>国家税务总局电子税务局仿真系统：支持教学应用系统与金税仿真系统的无缝集成；实现增值税</w:t>
      </w:r>
      <w:proofErr w:type="gramStart"/>
      <w:r>
        <w:rPr>
          <w:rFonts w:ascii="阿里巴巴普惠体 R" w:eastAsia="阿里巴巴普惠体 R" w:hAnsi="阿里巴巴普惠体 R" w:cs="阿里巴巴普惠体 R"/>
          <w:color w:val="000000" w:themeColor="text1"/>
          <w:szCs w:val="21"/>
        </w:rPr>
        <w:t>数电发票</w:t>
      </w:r>
      <w:proofErr w:type="gramEnd"/>
      <w:r>
        <w:rPr>
          <w:rFonts w:ascii="阿里巴巴普惠体 R" w:eastAsia="阿里巴巴普惠体 R" w:hAnsi="阿里巴巴普惠体 R" w:cs="阿里巴巴普惠体 R"/>
          <w:color w:val="000000" w:themeColor="text1"/>
          <w:szCs w:val="21"/>
        </w:rPr>
        <w:t>的开票、发票验真、进项税认证、增值税与附加税费申报与缴纳等为核心的全方位税务管理，完成一键报税。</w:t>
      </w:r>
    </w:p>
    <w:p w14:paraId="0B6C6A40"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63.</w:t>
      </w:r>
      <w:r>
        <w:rPr>
          <w:rFonts w:ascii="阿里巴巴普惠体 R" w:eastAsia="阿里巴巴普惠体 R" w:hAnsi="阿里巴巴普惠体 R" w:cs="阿里巴巴普惠体 R" w:hint="eastAsia"/>
          <w:color w:val="000000" w:themeColor="text1"/>
          <w:szCs w:val="21"/>
        </w:rPr>
        <w:t>仿真自然人税收管理：模拟自然人税收管理系统扣缴个税申报，采用5000元的个税起征点、《中华人民共和国个人所得税法》的个人所得税的税率、最新个人所得税专项附加扣除项。具有人员信息采集、综合所得申报、税款缴纳等功能。</w:t>
      </w:r>
    </w:p>
    <w:p w14:paraId="5934C11C"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64.</w:t>
      </w:r>
      <w:r>
        <w:rPr>
          <w:rFonts w:ascii="阿里巴巴普惠体 R" w:eastAsia="阿里巴巴普惠体 R" w:hAnsi="阿里巴巴普惠体 R" w:cs="阿里巴巴普惠体 R" w:hint="eastAsia"/>
          <w:color w:val="000000" w:themeColor="text1"/>
          <w:szCs w:val="21"/>
        </w:rPr>
        <w:t>人员信息采集：根据《个人所得税基础信息表》的要求采集相关信息，人员信息采集主要包括导入、报送、取消报送以及在非报送状态重新导入的功能。</w:t>
      </w:r>
    </w:p>
    <w:p w14:paraId="57E14149"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65.</w:t>
      </w:r>
      <w:r>
        <w:rPr>
          <w:rFonts w:ascii="阿里巴巴普惠体 R" w:eastAsia="阿里巴巴普惠体 R" w:hAnsi="阿里巴巴普惠体 R" w:cs="阿里巴巴普惠体 R" w:hint="eastAsia"/>
          <w:color w:val="000000" w:themeColor="text1"/>
          <w:szCs w:val="21"/>
        </w:rPr>
        <w:t>综合所得申报：综合所得申报扣缴申报的流程为：收入及减除填写-税款计算-附表填写</w:t>
      </w:r>
      <w:r>
        <w:rPr>
          <w:rFonts w:ascii="阿里巴巴普惠体 R" w:eastAsia="阿里巴巴普惠体 R" w:hAnsi="阿里巴巴普惠体 R" w:cs="阿里巴巴普惠体 R"/>
          <w:color w:val="000000" w:themeColor="text1"/>
          <w:szCs w:val="21"/>
        </w:rPr>
        <w:t>-</w:t>
      </w:r>
      <w:r>
        <w:rPr>
          <w:rFonts w:ascii="阿里巴巴普惠体 R" w:eastAsia="阿里巴巴普惠体 R" w:hAnsi="阿里巴巴普惠体 R" w:cs="阿里巴巴普惠体 R" w:hint="eastAsia"/>
          <w:color w:val="000000" w:themeColor="text1"/>
          <w:szCs w:val="21"/>
        </w:rPr>
        <w:t>申报表报送。根据《综合所得预扣预缴表》填写，收入及减除信息用于录入综合所得的收入及减除项数据，所得项目包括“正常工资薪金所得”等。</w:t>
      </w:r>
    </w:p>
    <w:p w14:paraId="77927FDB"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rPr>
      </w:pPr>
      <w:r>
        <w:rPr>
          <w:rFonts w:ascii="阿里巴巴普惠体 R" w:eastAsia="阿里巴巴普惠体 R" w:hAnsi="阿里巴巴普惠体 R" w:cs="阿里巴巴普惠体 R" w:hint="eastAsia"/>
          <w:color w:val="000000" w:themeColor="text1"/>
          <w:szCs w:val="21"/>
          <w:lang w:val="en-US"/>
        </w:rPr>
        <w:t>66.</w:t>
      </w:r>
      <w:r>
        <w:rPr>
          <w:rFonts w:ascii="阿里巴巴普惠体 R" w:eastAsia="阿里巴巴普惠体 R" w:hAnsi="阿里巴巴普惠体 R" w:cs="阿里巴巴普惠体 R" w:hint="eastAsia"/>
          <w:color w:val="000000" w:themeColor="text1"/>
          <w:szCs w:val="21"/>
        </w:rPr>
        <w:t>仿真电子会计档案：支持对电子会计档案立卷、归档、查询与借阅等相关操作，仿真还原共享服务中心对电子会计档案管理的相关操作。支持多种影像采集方式对纸质档案进行采集，支持凭证以及影像文件的装册、浏览，档案</w:t>
      </w:r>
      <w:proofErr w:type="gramStart"/>
      <w:r>
        <w:rPr>
          <w:rFonts w:ascii="阿里巴巴普惠体 R" w:eastAsia="阿里巴巴普惠体 R" w:hAnsi="阿里巴巴普惠体 R" w:cs="阿里巴巴普惠体 R" w:hint="eastAsia"/>
          <w:color w:val="000000" w:themeColor="text1"/>
          <w:szCs w:val="21"/>
        </w:rPr>
        <w:t>装册完成</w:t>
      </w:r>
      <w:proofErr w:type="gramEnd"/>
      <w:r>
        <w:rPr>
          <w:rFonts w:ascii="阿里巴巴普惠体 R" w:eastAsia="阿里巴巴普惠体 R" w:hAnsi="阿里巴巴普惠体 R" w:cs="阿里巴巴普惠体 R" w:hint="eastAsia"/>
          <w:color w:val="000000" w:themeColor="text1"/>
          <w:szCs w:val="21"/>
        </w:rPr>
        <w:t>后所有已装册的档案盒自动归档，归档的档案盒对应的纸质档案自动上架到档案保管位置方便调阅，通过建立电子会计档案与纸质会计档案索引关系，实现互阅互查。</w:t>
      </w:r>
    </w:p>
    <w:p w14:paraId="4A3FFBCE"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lang w:val="en-US"/>
        </w:rPr>
      </w:pPr>
      <w:r>
        <w:rPr>
          <w:rFonts w:ascii="阿里巴巴普惠体 R" w:eastAsia="阿里巴巴普惠体 R" w:hAnsi="阿里巴巴普惠体 R" w:cs="阿里巴巴普惠体 R" w:hint="eastAsia"/>
          <w:color w:val="000000" w:themeColor="text1"/>
          <w:szCs w:val="21"/>
          <w:lang w:val="en-US"/>
        </w:rPr>
        <w:t>67.为保证学生在校上课期间课程实践训练平台与行业企业应用平台保持一致性，便于学生未来就业提升竞争力，所投财务共享服务平台要求在黑龙江省内有不少于5家企业应用，提供应用企业的名称。</w:t>
      </w:r>
    </w:p>
    <w:p w14:paraId="13ABE26F"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lang w:val="en-US"/>
        </w:rPr>
      </w:pPr>
      <w:r>
        <w:rPr>
          <w:rFonts w:ascii="阿里巴巴普惠体 R" w:eastAsia="阿里巴巴普惠体 R" w:hAnsi="阿里巴巴普惠体 R" w:cs="阿里巴巴普惠体 R" w:hint="eastAsia"/>
          <w:color w:val="000000" w:themeColor="text1"/>
          <w:szCs w:val="21"/>
          <w:lang w:val="en-US"/>
        </w:rPr>
        <w:t>68.满足学校教师应用该平台与其他学校联合申报课题等教学成果，要求所投财务共享服务平台在黑龙江省内采购并应用的高校不少于三家，提供应用高校的名称。</w:t>
      </w:r>
    </w:p>
    <w:p w14:paraId="441A7293" w14:textId="77777777" w:rsidR="000807F0" w:rsidRDefault="00000000" w:rsidP="000C109D">
      <w:pPr>
        <w:pStyle w:val="a3"/>
        <w:spacing w:line="360" w:lineRule="auto"/>
        <w:ind w:firstLineChars="0" w:firstLine="0"/>
        <w:rPr>
          <w:rFonts w:ascii="阿里巴巴普惠体 R" w:eastAsia="阿里巴巴普惠体 R" w:hAnsi="阿里巴巴普惠体 R" w:cs="阿里巴巴普惠体 R" w:hint="eastAsia"/>
          <w:color w:val="000000" w:themeColor="text1"/>
          <w:szCs w:val="21"/>
          <w:lang w:val="en-US"/>
        </w:rPr>
      </w:pPr>
      <w:r>
        <w:rPr>
          <w:rFonts w:ascii="阿里巴巴普惠体 R" w:eastAsia="阿里巴巴普惠体 R" w:hAnsi="阿里巴巴普惠体 R" w:cs="阿里巴巴普惠体 R" w:hint="eastAsia"/>
          <w:color w:val="000000" w:themeColor="text1"/>
          <w:szCs w:val="21"/>
          <w:lang w:val="en-US"/>
        </w:rPr>
        <w:t>69.所投平台厂商在黑龙江本地需设立办公机构，同时该机构高校服务人员不少于五人，以满足学校未来课程服务和</w:t>
      </w:r>
      <w:proofErr w:type="gramStart"/>
      <w:r>
        <w:rPr>
          <w:rFonts w:ascii="阿里巴巴普惠体 R" w:eastAsia="阿里巴巴普惠体 R" w:hAnsi="阿里巴巴普惠体 R" w:cs="阿里巴巴普惠体 R" w:hint="eastAsia"/>
          <w:color w:val="000000" w:themeColor="text1"/>
          <w:szCs w:val="21"/>
          <w:lang w:val="en-US"/>
        </w:rPr>
        <w:t>校企</w:t>
      </w:r>
      <w:proofErr w:type="gramEnd"/>
      <w:r>
        <w:rPr>
          <w:rFonts w:ascii="阿里巴巴普惠体 R" w:eastAsia="阿里巴巴普惠体 R" w:hAnsi="阿里巴巴普惠体 R" w:cs="阿里巴巴普惠体 R" w:hint="eastAsia"/>
          <w:color w:val="000000" w:themeColor="text1"/>
          <w:szCs w:val="21"/>
          <w:lang w:val="en-US"/>
        </w:rPr>
        <w:t>合作的需要，提供办公机构地址及不少于五人的员工信息（包括姓名，电话，员工工号，入职年限，负责内容）。</w:t>
      </w:r>
    </w:p>
    <w:sectPr w:rsidR="000807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C1F5" w14:textId="77777777" w:rsidR="009A23F0" w:rsidRDefault="009A23F0">
      <w:pPr>
        <w:spacing w:line="240" w:lineRule="auto"/>
      </w:pPr>
      <w:r>
        <w:separator/>
      </w:r>
    </w:p>
  </w:endnote>
  <w:endnote w:type="continuationSeparator" w:id="0">
    <w:p w14:paraId="57E26547" w14:textId="77777777" w:rsidR="009A23F0" w:rsidRDefault="009A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tima Regular">
    <w:altName w:val="Times New Roman"/>
    <w:charset w:val="00"/>
    <w:family w:val="auto"/>
    <w:pitch w:val="default"/>
    <w:sig w:usb0="00000000" w:usb1="00000000" w:usb2="00000000" w:usb3="00000000" w:csb0="00000001" w:csb1="00000000"/>
  </w:font>
  <w:font w:name="阿里巴巴普惠体 R">
    <w:altName w:val="宋体"/>
    <w:charset w:val="86"/>
    <w:family w:val="roman"/>
    <w:pitch w:val="default"/>
    <w:sig w:usb0="00000000" w:usb1="00000000" w:usb2="0000001E"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304B" w14:textId="77777777" w:rsidR="009A23F0" w:rsidRDefault="009A23F0">
      <w:pPr>
        <w:spacing w:line="240" w:lineRule="auto"/>
      </w:pPr>
      <w:r>
        <w:separator/>
      </w:r>
    </w:p>
  </w:footnote>
  <w:footnote w:type="continuationSeparator" w:id="0">
    <w:p w14:paraId="346125C0" w14:textId="77777777" w:rsidR="009A23F0" w:rsidRDefault="009A23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F0"/>
    <w:rsid w:val="000807F0"/>
    <w:rsid w:val="000C109D"/>
    <w:rsid w:val="003A41CD"/>
    <w:rsid w:val="009A23F0"/>
    <w:rsid w:val="48612465"/>
    <w:rsid w:val="4B586598"/>
    <w:rsid w:val="54A25F12"/>
    <w:rsid w:val="628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3E9D4"/>
  <w15:docId w15:val="{E0EF2D36-7C5F-4134-BE74-ADE94016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line="360" w:lineRule="atLeast"/>
    </w:pPr>
    <w:rPr>
      <w:rFonts w:ascii="Optima Regular" w:eastAsia="Optima Regular" w:hAnsi="Optima Regular" w:cs="Optima Regular"/>
      <w:sz w:val="24"/>
      <w:szCs w:val="24"/>
      <w:lang w:val="zh-CN" w:bidi="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2508</Words>
  <Characters>2609</Characters>
  <Application>Microsoft Office Word</Application>
  <DocSecurity>0</DocSecurity>
  <Lines>89</Lines>
  <Paragraphs>60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zhang'ning</dc:creator>
  <cp:lastModifiedBy>y l</cp:lastModifiedBy>
  <cp:revision>2</cp:revision>
  <dcterms:created xsi:type="dcterms:W3CDTF">2026-04-29T01:44:00Z</dcterms:created>
  <dcterms:modified xsi:type="dcterms:W3CDTF">2026-04-30T02:43:00Z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eyJoZGlkIjoiNWIzNTVlMTc5MTEwYjk0ZmM2NmZhZmY0OGRkYTRhMGEiLCJ1c2VySWQiOiI5MjEwMjE4MzMifQ==</vt:lpwstr>
  </property>
  <property fmtid="{D5CDD505-2E9C-101B-9397-08002B2CF9AE}" pid="4" name="ICV">
    <vt:lpwstr>6D229717597C4FCC8A92C8BEE4721840_13</vt:lpwstr>
  </property>
</Properties>
</file>