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adjustRightInd w:val="0"/>
        <w:snapToGrid w:val="0"/>
        <w:spacing w:line="360" w:lineRule="auto"/>
        <w:ind w:firstLine="0" w:firstLineChars="0"/>
        <w:rPr>
          <w:rFonts w:ascii="宋体" w:hAnsi="宋体" w:eastAsia="宋体"/>
          <w:sz w:val="24"/>
          <w:szCs w:val="24"/>
        </w:rPr>
      </w:pPr>
      <w:r>
        <w:rPr>
          <w:rFonts w:hint="eastAsia" w:ascii="宋体" w:hAnsi="宋体" w:eastAsia="宋体"/>
          <w:sz w:val="24"/>
          <w:szCs w:val="24"/>
        </w:rPr>
        <w:t>附件二</w:t>
      </w:r>
    </w:p>
    <w:p>
      <w:pPr>
        <w:jc w:val="center"/>
        <w:rPr>
          <w:rFonts w:ascii="宋体" w:hAnsi="宋体" w:eastAsia="宋体"/>
          <w:b/>
          <w:bCs/>
          <w:color w:val="000000"/>
          <w:sz w:val="28"/>
          <w:szCs w:val="28"/>
        </w:rPr>
      </w:pPr>
      <w:bookmarkStart w:id="0" w:name="_GoBack"/>
      <w:r>
        <w:rPr>
          <w:rFonts w:hint="eastAsia" w:ascii="宋体" w:hAnsi="宋体" w:eastAsia="宋体"/>
          <w:b/>
          <w:bCs/>
          <w:color w:val="000000"/>
          <w:sz w:val="28"/>
          <w:szCs w:val="28"/>
        </w:rPr>
        <w:t>哈尔滨信息工程学院专业核心课程说课评价指标解读</w:t>
      </w:r>
    </w:p>
    <w:bookmarkEnd w:id="0"/>
    <w:p>
      <w:pPr>
        <w:jc w:val="center"/>
        <w:rPr>
          <w:rFonts w:ascii="华文中宋" w:hAnsi="华文中宋" w:eastAsia="华文中宋"/>
          <w:color w:val="000000"/>
          <w:sz w:val="10"/>
          <w:szCs w:val="10"/>
        </w:rPr>
      </w:pPr>
    </w:p>
    <w:tbl>
      <w:tblPr>
        <w:tblStyle w:val="6"/>
        <w:tblW w:w="8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768"/>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4" w:type="dxa"/>
            <w:vAlign w:val="center"/>
          </w:tcPr>
          <w:p>
            <w:pPr>
              <w:jc w:val="center"/>
              <w:rPr>
                <w:rFonts w:ascii="Times New Roman" w:hAnsi="Times New Roman" w:eastAsia="宋体"/>
                <w:b/>
                <w:sz w:val="24"/>
                <w:szCs w:val="24"/>
              </w:rPr>
            </w:pPr>
            <w:r>
              <w:rPr>
                <w:rFonts w:hint="eastAsia" w:ascii="Times New Roman" w:hAnsi="Times New Roman" w:eastAsia="宋体"/>
                <w:b/>
                <w:sz w:val="24"/>
                <w:szCs w:val="24"/>
              </w:rPr>
              <w:t>项目</w:t>
            </w:r>
          </w:p>
        </w:tc>
        <w:tc>
          <w:tcPr>
            <w:tcW w:w="3768" w:type="dxa"/>
            <w:vAlign w:val="center"/>
          </w:tcPr>
          <w:p>
            <w:pPr>
              <w:jc w:val="center"/>
              <w:rPr>
                <w:rFonts w:ascii="Times New Roman" w:hAnsi="Times New Roman" w:eastAsia="宋体"/>
                <w:b/>
                <w:sz w:val="24"/>
                <w:szCs w:val="24"/>
              </w:rPr>
            </w:pPr>
            <w:r>
              <w:rPr>
                <w:rFonts w:hint="eastAsia" w:ascii="Times New Roman" w:hAnsi="Times New Roman" w:eastAsia="宋体"/>
                <w:b/>
                <w:sz w:val="24"/>
                <w:szCs w:val="24"/>
              </w:rPr>
              <w:t>评价内容</w:t>
            </w:r>
          </w:p>
        </w:tc>
        <w:tc>
          <w:tcPr>
            <w:tcW w:w="4292" w:type="dxa"/>
            <w:vAlign w:val="center"/>
          </w:tcPr>
          <w:p>
            <w:pPr>
              <w:jc w:val="center"/>
              <w:rPr>
                <w:rFonts w:ascii="Times New Roman" w:hAnsi="Times New Roman" w:eastAsia="宋体"/>
                <w:b/>
                <w:sz w:val="24"/>
                <w:szCs w:val="24"/>
              </w:rPr>
            </w:pPr>
            <w:r>
              <w:rPr>
                <w:rFonts w:hint="eastAsia" w:ascii="Times New Roman" w:hAnsi="Times New Roman" w:eastAsia="宋体"/>
                <w:b/>
                <w:sz w:val="24"/>
                <w:szCs w:val="24"/>
              </w:rPr>
              <w:t>指标解读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jc w:val="center"/>
        </w:trPr>
        <w:tc>
          <w:tcPr>
            <w:tcW w:w="834" w:type="dxa"/>
            <w:vMerge w:val="restart"/>
            <w:vAlign w:val="center"/>
          </w:tcPr>
          <w:p>
            <w:pPr>
              <w:jc w:val="center"/>
              <w:rPr>
                <w:rFonts w:ascii="宋体" w:hAnsi="宋体" w:eastAsia="宋体"/>
                <w:b/>
                <w:color w:val="000000"/>
                <w:szCs w:val="21"/>
              </w:rPr>
            </w:pPr>
            <w:r>
              <w:rPr>
                <w:rFonts w:hint="eastAsia" w:ascii="宋体" w:hAnsi="宋体" w:eastAsia="宋体"/>
                <w:b/>
                <w:bCs/>
                <w:color w:val="000000"/>
                <w:szCs w:val="21"/>
              </w:rPr>
              <w:t>为什么要开设这门课（20分）</w:t>
            </w:r>
          </w:p>
        </w:tc>
        <w:tc>
          <w:tcPr>
            <w:tcW w:w="3768" w:type="dxa"/>
            <w:vAlign w:val="center"/>
          </w:tcPr>
          <w:p>
            <w:pPr>
              <w:spacing w:line="360" w:lineRule="exact"/>
              <w:rPr>
                <w:rFonts w:ascii="Times New Roman" w:hAnsi="Times New Roman" w:eastAsia="宋体"/>
                <w:szCs w:val="21"/>
              </w:rPr>
            </w:pPr>
            <w:r>
              <w:rPr>
                <w:rFonts w:ascii="Times New Roman" w:hAnsi="Arial" w:eastAsia="宋体"/>
                <w:bCs/>
                <w:color w:val="000000"/>
                <w:szCs w:val="21"/>
              </w:rPr>
              <w:t>1</w:t>
            </w:r>
            <w:r>
              <w:rPr>
                <w:rFonts w:hint="eastAsia" w:ascii="Times New Roman" w:hAnsi="Arial" w:eastAsia="宋体"/>
                <w:bCs/>
                <w:color w:val="000000"/>
                <w:szCs w:val="21"/>
              </w:rPr>
              <w:t>、</w:t>
            </w:r>
            <w:r>
              <w:rPr>
                <w:rFonts w:hint="eastAsia" w:ascii="Times New Roman" w:hAnsi="Arial" w:eastAsia="宋体"/>
                <w:b/>
                <w:bCs/>
                <w:color w:val="000000"/>
                <w:szCs w:val="21"/>
              </w:rPr>
              <w:t>课程在专业人才培养方案中的定位。</w:t>
            </w:r>
            <w:r>
              <w:rPr>
                <w:rFonts w:hint="eastAsia" w:ascii="Times New Roman" w:hAnsi="Arial" w:eastAsia="宋体"/>
                <w:bCs/>
                <w:color w:val="000000"/>
                <w:szCs w:val="21"/>
              </w:rPr>
              <w:t>简单说明专业背景和相关领域职业岗位的任职要求及培养应用型人才的教学目标。</w:t>
            </w:r>
          </w:p>
        </w:tc>
        <w:tc>
          <w:tcPr>
            <w:tcW w:w="4292" w:type="dxa"/>
            <w:vAlign w:val="center"/>
          </w:tcPr>
          <w:p>
            <w:pPr>
              <w:spacing w:line="360" w:lineRule="exact"/>
              <w:rPr>
                <w:rFonts w:ascii="Times New Roman" w:hAnsi="Times New Roman" w:eastAsia="宋体"/>
                <w:szCs w:val="21"/>
              </w:rPr>
            </w:pPr>
            <w:r>
              <w:rPr>
                <w:rFonts w:hint="eastAsia" w:ascii="Times New Roman" w:hAnsi="Times New Roman" w:eastAsia="宋体"/>
                <w:szCs w:val="21"/>
              </w:rPr>
              <w:t>1、对本专业人才市场需求情况的分析，说明设置本专业的依据；</w:t>
            </w:r>
          </w:p>
          <w:p>
            <w:pPr>
              <w:spacing w:line="360" w:lineRule="exact"/>
              <w:rPr>
                <w:rFonts w:ascii="Times New Roman" w:hAnsi="Times New Roman" w:eastAsia="宋体"/>
                <w:color w:val="000000"/>
                <w:szCs w:val="21"/>
              </w:rPr>
            </w:pPr>
            <w:r>
              <w:rPr>
                <w:rFonts w:hint="eastAsia" w:ascii="Times New Roman" w:hAnsi="Times New Roman" w:eastAsia="宋体"/>
                <w:color w:val="000000"/>
                <w:szCs w:val="21"/>
              </w:rPr>
              <w:t>2、本课程对人才培养方案起到的作用；</w:t>
            </w:r>
          </w:p>
          <w:p>
            <w:pPr>
              <w:spacing w:line="360" w:lineRule="exact"/>
              <w:rPr>
                <w:rFonts w:ascii="Times New Roman" w:hAnsi="Times New Roman" w:eastAsia="宋体"/>
                <w:szCs w:val="21"/>
              </w:rPr>
            </w:pPr>
            <w:r>
              <w:rPr>
                <w:rFonts w:hint="eastAsia" w:ascii="Times New Roman" w:hAnsi="Times New Roman" w:eastAsia="宋体"/>
                <w:szCs w:val="21"/>
              </w:rPr>
              <w:t>3、明确课程在专业培养方案中的定位以及与前导、后续课程的衔接。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834" w:type="dxa"/>
            <w:vMerge w:val="continue"/>
            <w:vAlign w:val="center"/>
          </w:tcPr>
          <w:p>
            <w:pPr>
              <w:jc w:val="center"/>
              <w:rPr>
                <w:rFonts w:ascii="宋体" w:hAnsi="宋体" w:eastAsia="宋体"/>
                <w:b/>
                <w:color w:val="000000"/>
                <w:szCs w:val="21"/>
              </w:rPr>
            </w:pPr>
          </w:p>
        </w:tc>
        <w:tc>
          <w:tcPr>
            <w:tcW w:w="3768" w:type="dxa"/>
            <w:vAlign w:val="center"/>
          </w:tcPr>
          <w:p>
            <w:pPr>
              <w:spacing w:line="360" w:lineRule="exact"/>
              <w:rPr>
                <w:rFonts w:ascii="Times New Roman" w:hAnsi="Arial" w:eastAsia="宋体"/>
                <w:bCs/>
                <w:color w:val="000000"/>
                <w:szCs w:val="21"/>
              </w:rPr>
            </w:pPr>
            <w:r>
              <w:rPr>
                <w:rFonts w:ascii="Times New Roman" w:hAnsi="Arial" w:eastAsia="宋体"/>
                <w:bCs/>
                <w:color w:val="000000"/>
                <w:szCs w:val="21"/>
              </w:rPr>
              <w:t>2</w:t>
            </w:r>
            <w:r>
              <w:rPr>
                <w:rFonts w:hint="eastAsia" w:ascii="Times New Roman" w:hAnsi="Arial" w:eastAsia="宋体"/>
                <w:bCs/>
                <w:color w:val="000000"/>
                <w:szCs w:val="21"/>
              </w:rPr>
              <w:t>、</w:t>
            </w:r>
            <w:r>
              <w:rPr>
                <w:rFonts w:hint="eastAsia" w:ascii="Times New Roman" w:hAnsi="Arial" w:eastAsia="宋体"/>
                <w:b/>
                <w:bCs/>
                <w:color w:val="000000"/>
                <w:szCs w:val="21"/>
              </w:rPr>
              <w:t>课程支撑专业核心能力分析。</w:t>
            </w:r>
            <w:r>
              <w:rPr>
                <w:rFonts w:hint="eastAsia" w:ascii="Times New Roman" w:hAnsi="Arial" w:eastAsia="宋体"/>
                <w:bCs/>
                <w:color w:val="000000"/>
                <w:szCs w:val="21"/>
              </w:rPr>
              <w:t>根据岗位能力要求，分析掌握技能的学习领域，确定学习领域目标；说明本课程对学生岗位能力培养和职业素养养成起着什么样的支撑或促进作用。</w:t>
            </w:r>
          </w:p>
        </w:tc>
        <w:tc>
          <w:tcPr>
            <w:tcW w:w="4292" w:type="dxa"/>
            <w:vAlign w:val="center"/>
          </w:tcPr>
          <w:p>
            <w:pPr>
              <w:spacing w:line="360" w:lineRule="exact"/>
              <w:rPr>
                <w:rFonts w:ascii="Times New Roman" w:hAnsi="Times New Roman" w:eastAsia="宋体"/>
                <w:szCs w:val="21"/>
              </w:rPr>
            </w:pPr>
            <w:r>
              <w:rPr>
                <w:rFonts w:hint="eastAsia" w:ascii="Times New Roman" w:hAnsi="Times New Roman" w:eastAsia="宋体"/>
                <w:szCs w:val="21"/>
              </w:rPr>
              <w:t>1、基于专业岗位能力分析与任职资格标准，分析本课程对学生岗位能力培养和职业素养的养成所起的支撑作用。</w:t>
            </w:r>
          </w:p>
          <w:p>
            <w:pPr>
              <w:spacing w:line="360" w:lineRule="exact"/>
              <w:rPr>
                <w:rFonts w:ascii="Times New Roman" w:hAnsi="Times New Roman" w:eastAsia="宋体"/>
                <w:color w:val="000000"/>
                <w:szCs w:val="21"/>
              </w:rPr>
            </w:pPr>
            <w:r>
              <w:rPr>
                <w:rFonts w:hint="eastAsia" w:ascii="Times New Roman" w:hAnsi="Times New Roman" w:eastAsia="宋体"/>
                <w:color w:val="000000"/>
                <w:szCs w:val="21"/>
              </w:rPr>
              <w:t>2、分解专业核心能力是什么？（列表）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834" w:type="dxa"/>
            <w:vMerge w:val="continue"/>
            <w:vAlign w:val="center"/>
          </w:tcPr>
          <w:p>
            <w:pPr>
              <w:jc w:val="center"/>
              <w:rPr>
                <w:rFonts w:ascii="宋体" w:hAnsi="宋体" w:eastAsia="宋体"/>
                <w:b/>
                <w:color w:val="000000"/>
                <w:szCs w:val="21"/>
              </w:rPr>
            </w:pPr>
          </w:p>
        </w:tc>
        <w:tc>
          <w:tcPr>
            <w:tcW w:w="3768" w:type="dxa"/>
            <w:vAlign w:val="center"/>
          </w:tcPr>
          <w:p>
            <w:pPr>
              <w:spacing w:line="360" w:lineRule="exact"/>
              <w:rPr>
                <w:rFonts w:ascii="Times New Roman" w:hAnsi="Arial" w:eastAsia="宋体"/>
                <w:bCs/>
                <w:color w:val="000000"/>
                <w:szCs w:val="21"/>
              </w:rPr>
            </w:pPr>
            <w:r>
              <w:rPr>
                <w:rFonts w:ascii="Times New Roman" w:hAnsi="Arial" w:eastAsia="宋体"/>
                <w:bCs/>
                <w:color w:val="000000"/>
                <w:szCs w:val="21"/>
              </w:rPr>
              <w:t>3</w:t>
            </w:r>
            <w:r>
              <w:rPr>
                <w:rFonts w:hint="eastAsia" w:ascii="Times New Roman" w:hAnsi="Arial" w:eastAsia="宋体"/>
                <w:bCs/>
                <w:color w:val="000000"/>
                <w:szCs w:val="21"/>
              </w:rPr>
              <w:t>、</w:t>
            </w:r>
            <w:r>
              <w:rPr>
                <w:rFonts w:hint="eastAsia" w:ascii="Times New Roman" w:hAnsi="Arial" w:eastAsia="宋体"/>
                <w:b/>
                <w:bCs/>
                <w:color w:val="000000"/>
                <w:szCs w:val="21"/>
              </w:rPr>
              <w:t>课程内容选取与安排。</w:t>
            </w:r>
            <w:r>
              <w:rPr>
                <w:rFonts w:hint="eastAsia" w:ascii="Times New Roman" w:hAnsi="Arial" w:eastAsia="宋体"/>
                <w:bCs/>
                <w:color w:val="000000"/>
                <w:szCs w:val="21"/>
              </w:rPr>
              <w:t>遵循学生职业能力培养的基本规律，以真实工作任务为依据设计教学内容，理论与实践一体化，教学环节设计合理。包括课程教学时数及课时的确定依据。</w:t>
            </w:r>
          </w:p>
        </w:tc>
        <w:tc>
          <w:tcPr>
            <w:tcW w:w="4292" w:type="dxa"/>
            <w:vAlign w:val="center"/>
          </w:tcPr>
          <w:p>
            <w:pPr>
              <w:spacing w:line="360" w:lineRule="exact"/>
              <w:rPr>
                <w:rFonts w:ascii="Times New Roman" w:hAnsi="Times New Roman" w:eastAsia="宋体"/>
                <w:szCs w:val="21"/>
              </w:rPr>
            </w:pPr>
            <w:r>
              <w:rPr>
                <w:rFonts w:hint="eastAsia" w:ascii="Times New Roman" w:hAnsi="Times New Roman" w:eastAsia="宋体"/>
                <w:szCs w:val="21"/>
              </w:rPr>
              <w:t>1、根据知识、能力、素质的要求，找准学习内容，确定课程基本内</w:t>
            </w:r>
            <w:r>
              <w:rPr>
                <w:rFonts w:hint="eastAsia" w:ascii="Times New Roman" w:hAnsi="Times New Roman" w:eastAsia="宋体"/>
                <w:color w:val="000000"/>
                <w:szCs w:val="21"/>
              </w:rPr>
              <w:t>容框架（拓扑图）；</w:t>
            </w:r>
          </w:p>
          <w:p>
            <w:pPr>
              <w:spacing w:line="360" w:lineRule="exact"/>
              <w:rPr>
                <w:rFonts w:ascii="Times New Roman" w:hAnsi="Times New Roman" w:eastAsia="宋体"/>
                <w:szCs w:val="21"/>
              </w:rPr>
            </w:pPr>
            <w:r>
              <w:rPr>
                <w:rFonts w:hint="eastAsia" w:ascii="Times New Roman" w:hAnsi="Times New Roman" w:eastAsia="宋体"/>
                <w:szCs w:val="21"/>
              </w:rPr>
              <w:t>2、根据学习领域对需要课程的角度与深度，确定课时量；</w:t>
            </w:r>
          </w:p>
          <w:p>
            <w:pPr>
              <w:spacing w:line="36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834" w:type="dxa"/>
            <w:vMerge w:val="continue"/>
            <w:vAlign w:val="center"/>
          </w:tcPr>
          <w:p>
            <w:pPr>
              <w:jc w:val="center"/>
              <w:rPr>
                <w:rFonts w:ascii="宋体" w:hAnsi="宋体" w:eastAsia="宋体"/>
                <w:b/>
                <w:color w:val="000000"/>
                <w:szCs w:val="21"/>
              </w:rPr>
            </w:pPr>
          </w:p>
        </w:tc>
        <w:tc>
          <w:tcPr>
            <w:tcW w:w="3768" w:type="dxa"/>
          </w:tcPr>
          <w:p>
            <w:pPr>
              <w:spacing w:before="36" w:beforeLines="10" w:after="36" w:afterLines="10"/>
              <w:rPr>
                <w:rFonts w:ascii="Times New Roman" w:hAnsi="Arial" w:eastAsia="宋体"/>
                <w:bCs/>
                <w:color w:val="000000"/>
                <w:szCs w:val="21"/>
              </w:rPr>
            </w:pPr>
            <w:r>
              <w:rPr>
                <w:rFonts w:ascii="Times New Roman" w:hAnsi="Arial" w:eastAsia="宋体"/>
                <w:bCs/>
                <w:color w:val="000000"/>
                <w:szCs w:val="21"/>
              </w:rPr>
              <w:t>4</w:t>
            </w:r>
            <w:r>
              <w:rPr>
                <w:rFonts w:hint="eastAsia" w:ascii="Times New Roman" w:hAnsi="Arial" w:eastAsia="宋体"/>
                <w:bCs/>
                <w:color w:val="000000"/>
                <w:szCs w:val="21"/>
              </w:rPr>
              <w:t>、</w:t>
            </w:r>
            <w:r>
              <w:rPr>
                <w:rFonts w:hint="eastAsia" w:ascii="Times New Roman" w:hAnsi="Arial" w:eastAsia="宋体"/>
                <w:b/>
                <w:bCs/>
                <w:color w:val="000000"/>
                <w:szCs w:val="21"/>
              </w:rPr>
              <w:t>课程设计理念及特色。</w:t>
            </w:r>
            <w:r>
              <w:rPr>
                <w:rFonts w:hint="eastAsia" w:ascii="Times New Roman" w:hAnsi="Arial" w:eastAsia="宋体"/>
                <w:bCs/>
                <w:color w:val="000000"/>
                <w:szCs w:val="21"/>
              </w:rPr>
              <w:t>以岗位能力培养为重点，渗透学生素质教育和关注学生可持续发展能力的培养，充分体现实践性和岗位针对性的要求。</w:t>
            </w:r>
          </w:p>
        </w:tc>
        <w:tc>
          <w:tcPr>
            <w:tcW w:w="4292" w:type="dxa"/>
            <w:vAlign w:val="center"/>
          </w:tcPr>
          <w:p>
            <w:pPr>
              <w:spacing w:line="360" w:lineRule="exact"/>
              <w:rPr>
                <w:rFonts w:ascii="Times New Roman" w:hAnsi="Times New Roman" w:eastAsia="宋体"/>
                <w:szCs w:val="21"/>
              </w:rPr>
            </w:pPr>
            <w:r>
              <w:rPr>
                <w:rFonts w:hint="eastAsia" w:ascii="Times New Roman" w:hAnsi="Times New Roman" w:eastAsia="宋体"/>
                <w:szCs w:val="21"/>
              </w:rPr>
              <w:t>1、积极探索适合应用型本科的教学理念，有针对性的选择教学模式，如项目教学模式等；</w:t>
            </w:r>
          </w:p>
          <w:p>
            <w:pPr>
              <w:spacing w:line="360" w:lineRule="exact"/>
              <w:rPr>
                <w:rFonts w:ascii="Times New Roman" w:hAnsi="Times New Roman" w:eastAsia="宋体"/>
                <w:szCs w:val="21"/>
              </w:rPr>
            </w:pPr>
            <w:r>
              <w:rPr>
                <w:rFonts w:hint="eastAsia" w:ascii="Times New Roman" w:hAnsi="Times New Roman" w:eastAsia="宋体"/>
                <w:szCs w:val="21"/>
              </w:rPr>
              <w:t>2、你所讲授课程的设计既要体现高等教育对学生可持续发展的关注，又不同于其他授课教师的特色。</w:t>
            </w:r>
          </w:p>
          <w:p>
            <w:pPr>
              <w:spacing w:line="360" w:lineRule="exact"/>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Merge w:val="restart"/>
            <w:vAlign w:val="center"/>
          </w:tcPr>
          <w:p>
            <w:pPr>
              <w:rPr>
                <w:rFonts w:ascii="宋体" w:hAnsi="宋体" w:eastAsia="宋体"/>
                <w:b/>
                <w:bCs/>
                <w:color w:val="000000"/>
                <w:szCs w:val="21"/>
              </w:rPr>
            </w:pPr>
            <w:r>
              <w:rPr>
                <w:rFonts w:hint="eastAsia" w:ascii="宋体" w:hAnsi="宋体" w:eastAsia="宋体"/>
                <w:b/>
                <w:bCs/>
                <w:color w:val="000000"/>
                <w:szCs w:val="21"/>
              </w:rPr>
              <w:t>怎样开好这门课（70分）</w:t>
            </w:r>
          </w:p>
          <w:p>
            <w:pPr>
              <w:jc w:val="center"/>
              <w:rPr>
                <w:rFonts w:ascii="宋体" w:hAnsi="宋体" w:eastAsia="宋体"/>
                <w:b/>
                <w:color w:val="000000"/>
                <w:szCs w:val="21"/>
              </w:rPr>
            </w:pPr>
          </w:p>
        </w:tc>
        <w:tc>
          <w:tcPr>
            <w:tcW w:w="3768" w:type="dxa"/>
            <w:vAlign w:val="center"/>
          </w:tcPr>
          <w:p>
            <w:pPr>
              <w:spacing w:before="36" w:beforeLines="10" w:after="36" w:afterLines="10"/>
              <w:rPr>
                <w:rFonts w:ascii="宋体" w:hAnsi="宋体" w:eastAsia="宋体" w:cs="宋体"/>
                <w:kern w:val="0"/>
                <w:szCs w:val="21"/>
              </w:rPr>
            </w:pPr>
            <w:r>
              <w:rPr>
                <w:rFonts w:ascii="Times New Roman" w:hAnsi="Times New Roman" w:eastAsia="宋体"/>
                <w:b/>
                <w:kern w:val="0"/>
                <w:szCs w:val="21"/>
              </w:rPr>
              <w:t>5</w:t>
            </w:r>
            <w:r>
              <w:rPr>
                <w:rFonts w:hint="eastAsia" w:ascii="Times New Roman" w:hAnsi="宋体" w:eastAsia="宋体" w:cs="宋体"/>
                <w:b/>
                <w:kern w:val="0"/>
                <w:szCs w:val="21"/>
              </w:rPr>
              <w:t>、知识教育的充分性。</w:t>
            </w:r>
            <w:r>
              <w:rPr>
                <w:rFonts w:hint="eastAsia" w:ascii="Times New Roman" w:hAnsi="宋体" w:eastAsia="宋体" w:cs="宋体"/>
                <w:kern w:val="0"/>
                <w:szCs w:val="21"/>
              </w:rPr>
              <w:t>根据课程目标和就业岗位知识储备要求，重视学生在校学习与实际工作的一致性，有针对性地采取任务驱动、项目导向以及重点内容循环往复式</w:t>
            </w:r>
            <w:r>
              <w:rPr>
                <w:rFonts w:hint="eastAsia" w:ascii="Times New Roman" w:hAnsi="宋体" w:eastAsia="宋体" w:cs="宋体"/>
                <w:bCs/>
                <w:kern w:val="0"/>
                <w:szCs w:val="21"/>
              </w:rPr>
              <w:t>的</w:t>
            </w:r>
            <w:r>
              <w:rPr>
                <w:rFonts w:hint="eastAsia" w:ascii="Times New Roman" w:hAnsi="宋体" w:eastAsia="宋体" w:cs="宋体"/>
                <w:kern w:val="0"/>
                <w:szCs w:val="21"/>
              </w:rPr>
              <w:t>教学模式，保证学生合理的知识结构。</w:t>
            </w:r>
          </w:p>
        </w:tc>
        <w:tc>
          <w:tcPr>
            <w:tcW w:w="4292" w:type="dxa"/>
            <w:vAlign w:val="center"/>
          </w:tcPr>
          <w:p>
            <w:pPr>
              <w:rPr>
                <w:rFonts w:ascii="Times New Roman" w:hAnsi="Times New Roman" w:eastAsia="宋体"/>
                <w:color w:val="000000"/>
                <w:szCs w:val="21"/>
              </w:rPr>
            </w:pPr>
            <w:r>
              <w:rPr>
                <w:rFonts w:hint="eastAsia" w:ascii="Times New Roman" w:hAnsi="Times New Roman" w:eastAsia="宋体"/>
                <w:szCs w:val="21"/>
              </w:rPr>
              <w:t>1</w:t>
            </w:r>
            <w:r>
              <w:rPr>
                <w:rFonts w:hint="eastAsia" w:ascii="Times New Roman" w:hAnsi="Times New Roman" w:eastAsia="宋体"/>
                <w:color w:val="000000"/>
                <w:szCs w:val="21"/>
              </w:rPr>
              <w:t>、通过诸如循环往复的教学模式等授课方式、方法，培养学生达到企业要求的有效衔接；</w:t>
            </w:r>
          </w:p>
          <w:p>
            <w:pPr>
              <w:rPr>
                <w:rFonts w:ascii="Times New Roman" w:hAnsi="Times New Roman" w:eastAsia="宋体"/>
                <w:szCs w:val="21"/>
              </w:rPr>
            </w:pPr>
            <w:r>
              <w:rPr>
                <w:rFonts w:hint="eastAsia" w:ascii="Times New Roman" w:hAnsi="Times New Roman" w:eastAsia="宋体"/>
                <w:szCs w:val="21"/>
              </w:rPr>
              <w:t>2、知识教育要体现岗位性——课程目标设计与实际岗位工作能力目标一致；</w:t>
            </w:r>
          </w:p>
          <w:p>
            <w:pPr>
              <w:rPr>
                <w:rFonts w:ascii="Times New Roman" w:hAnsi="Times New Roman" w:eastAsia="宋体"/>
                <w:szCs w:val="21"/>
              </w:rPr>
            </w:pPr>
            <w:r>
              <w:rPr>
                <w:rFonts w:hint="eastAsia" w:ascii="Times New Roman" w:hAnsi="Times New Roman" w:eastAsia="宋体"/>
                <w:szCs w:val="21"/>
              </w:rPr>
              <w:t>3、教学方法要体现开放性——采用案例式、任务驱动、项目导向</w:t>
            </w:r>
            <w:r>
              <w:rPr>
                <w:rFonts w:hint="eastAsia" w:ascii="Times New Roman" w:hAnsi="Arial" w:eastAsia="宋体"/>
                <w:bCs/>
                <w:color w:val="000000"/>
                <w:szCs w:val="21"/>
              </w:rPr>
              <w:t>等教学法。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834" w:type="dxa"/>
            <w:vMerge w:val="continue"/>
          </w:tcPr>
          <w:p>
            <w:pPr>
              <w:rPr>
                <w:rFonts w:ascii="Times New Roman" w:hAnsi="Times New Roman" w:eastAsia="宋体"/>
                <w:szCs w:val="24"/>
              </w:rPr>
            </w:pPr>
          </w:p>
        </w:tc>
        <w:tc>
          <w:tcPr>
            <w:tcW w:w="3768" w:type="dxa"/>
            <w:vAlign w:val="center"/>
          </w:tcPr>
          <w:p>
            <w:pPr>
              <w:spacing w:before="36" w:beforeLines="10" w:after="36" w:afterLines="10"/>
              <w:rPr>
                <w:rFonts w:ascii="Times New Roman" w:hAnsi="Times New Roman" w:eastAsia="宋体"/>
                <w:b/>
                <w:kern w:val="0"/>
                <w:szCs w:val="21"/>
              </w:rPr>
            </w:pPr>
            <w:r>
              <w:rPr>
                <w:rFonts w:hint="eastAsia" w:ascii="Times New Roman" w:hAnsi="Times New Roman" w:eastAsia="宋体"/>
                <w:b/>
                <w:kern w:val="0"/>
                <w:szCs w:val="21"/>
              </w:rPr>
              <w:t>6</w:t>
            </w:r>
            <w:r>
              <w:rPr>
                <w:rFonts w:hint="eastAsia" w:ascii="Times New Roman" w:hAnsi="宋体" w:eastAsia="宋体" w:cs="宋体"/>
                <w:b/>
                <w:kern w:val="0"/>
                <w:szCs w:val="21"/>
              </w:rPr>
              <w:t>、技能训练的熟练性。</w:t>
            </w:r>
            <w:r>
              <w:rPr>
                <w:rFonts w:hint="eastAsia" w:ascii="Times New Roman" w:hAnsi="宋体" w:eastAsia="宋体" w:cs="宋体"/>
                <w:kern w:val="0"/>
                <w:szCs w:val="21"/>
              </w:rPr>
              <w:t>根据课程目标通过引入仿真项目或企业的实际案例等形式训练学生熟练专业技能，本门课程能够按照相关工艺规范、行业标准、工作流程等要求开展技能训练。</w:t>
            </w:r>
          </w:p>
        </w:tc>
        <w:tc>
          <w:tcPr>
            <w:tcW w:w="4292" w:type="dxa"/>
            <w:vAlign w:val="center"/>
          </w:tcPr>
          <w:p>
            <w:pPr>
              <w:rPr>
                <w:rFonts w:ascii="Times New Roman" w:hAnsi="Arial" w:eastAsia="宋体"/>
                <w:bCs/>
                <w:color w:val="000000"/>
                <w:szCs w:val="21"/>
              </w:rPr>
            </w:pPr>
            <w:r>
              <w:rPr>
                <w:rFonts w:hint="eastAsia" w:ascii="Times New Roman" w:hAnsi="Times New Roman" w:eastAsia="宋体"/>
                <w:szCs w:val="21"/>
              </w:rPr>
              <w:t>1、教学中通过引入企业实际的案例或承接企业实际项目，保证技能教育的内容、要求与企业实际操作要求一致性；</w:t>
            </w:r>
            <w:r>
              <w:rPr>
                <w:rFonts w:hint="eastAsia" w:ascii="Times New Roman" w:hAnsi="Arial" w:eastAsia="宋体"/>
                <w:bCs/>
                <w:color w:val="000000"/>
                <w:szCs w:val="21"/>
              </w:rPr>
              <w:t xml:space="preserve"> </w:t>
            </w:r>
          </w:p>
          <w:p>
            <w:pPr>
              <w:rPr>
                <w:rFonts w:ascii="Times New Roman" w:hAnsi="Arial" w:eastAsia="宋体"/>
                <w:bCs/>
                <w:color w:val="000000"/>
                <w:szCs w:val="21"/>
              </w:rPr>
            </w:pPr>
            <w:r>
              <w:rPr>
                <w:rFonts w:hint="eastAsia" w:ascii="Times New Roman" w:hAnsi="Arial" w:eastAsia="宋体"/>
                <w:bCs/>
                <w:color w:val="000000"/>
                <w:szCs w:val="21"/>
              </w:rPr>
              <w:t>2、实践教学中要注重工作流程、规范、标准的引入，按企业员工标准来要求学生，使学生养成良好的习惯；</w:t>
            </w:r>
          </w:p>
          <w:p>
            <w:pPr>
              <w:rPr>
                <w:rFonts w:ascii="Times New Roman" w:hAnsi="Arial" w:eastAsia="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Merge w:val="continue"/>
          </w:tcPr>
          <w:p>
            <w:pPr>
              <w:rPr>
                <w:rFonts w:ascii="Times New Roman" w:hAnsi="Times New Roman" w:eastAsia="宋体"/>
                <w:szCs w:val="24"/>
              </w:rPr>
            </w:pPr>
          </w:p>
        </w:tc>
        <w:tc>
          <w:tcPr>
            <w:tcW w:w="3768" w:type="dxa"/>
            <w:vAlign w:val="center"/>
          </w:tcPr>
          <w:p>
            <w:pPr>
              <w:spacing w:before="36" w:beforeLines="10" w:after="36" w:afterLines="10"/>
              <w:rPr>
                <w:rFonts w:ascii="宋体" w:hAnsi="宋体" w:eastAsia="宋体" w:cs="宋体"/>
                <w:kern w:val="0"/>
                <w:szCs w:val="21"/>
              </w:rPr>
            </w:pPr>
            <w:r>
              <w:rPr>
                <w:rFonts w:hint="eastAsia" w:ascii="Times New Roman" w:hAnsi="Times New Roman" w:eastAsia="宋体"/>
                <w:b/>
                <w:kern w:val="0"/>
                <w:szCs w:val="21"/>
              </w:rPr>
              <w:t>7</w:t>
            </w:r>
            <w:r>
              <w:rPr>
                <w:rFonts w:hint="eastAsia" w:ascii="Times New Roman" w:hAnsi="宋体" w:eastAsia="宋体" w:cs="宋体"/>
                <w:b/>
                <w:kern w:val="0"/>
                <w:szCs w:val="21"/>
              </w:rPr>
              <w:t>、重视方法能力教育。</w:t>
            </w:r>
            <w:r>
              <w:rPr>
                <w:rFonts w:hint="eastAsia" w:ascii="Times New Roman" w:hAnsi="宋体" w:eastAsia="宋体" w:cs="宋体"/>
                <w:kern w:val="0"/>
                <w:szCs w:val="21"/>
              </w:rPr>
              <w:t>根据课程内容和学生特点，</w:t>
            </w:r>
            <w:r>
              <w:rPr>
                <w:rFonts w:hint="eastAsia" w:ascii="Times New Roman" w:hAnsi="宋体" w:eastAsia="宋体" w:cs="宋体"/>
                <w:bCs/>
                <w:kern w:val="0"/>
                <w:szCs w:val="21"/>
              </w:rPr>
              <w:t>灵活运用案例分析、分组讨论、角色扮演、启发引导等教学方法，</w:t>
            </w:r>
            <w:r>
              <w:rPr>
                <w:rFonts w:hint="eastAsia" w:ascii="Times New Roman" w:hAnsi="宋体" w:eastAsia="宋体" w:cs="宋体"/>
                <w:spacing w:val="10"/>
                <w:kern w:val="0"/>
                <w:szCs w:val="21"/>
              </w:rPr>
              <w:t>突出提出问题、分析问题、解决问题的能力训练，以培养学生独学习、获取新知识技能的能力，</w:t>
            </w:r>
          </w:p>
        </w:tc>
        <w:tc>
          <w:tcPr>
            <w:tcW w:w="4292" w:type="dxa"/>
            <w:vAlign w:val="center"/>
          </w:tcPr>
          <w:p>
            <w:pPr>
              <w:rPr>
                <w:rFonts w:ascii="Times New Roman" w:hAnsi="Times New Roman" w:eastAsia="宋体"/>
                <w:szCs w:val="21"/>
              </w:rPr>
            </w:pPr>
            <w:r>
              <w:rPr>
                <w:rFonts w:hint="eastAsia" w:ascii="Times New Roman" w:hAnsi="Times New Roman" w:eastAsia="宋体"/>
                <w:szCs w:val="21"/>
              </w:rPr>
              <w:t>1、教学组织中</w:t>
            </w:r>
            <w:r>
              <w:rPr>
                <w:rFonts w:hint="eastAsia" w:ascii="Times New Roman" w:hAnsi="宋体" w:eastAsia="宋体" w:cs="宋体"/>
                <w:bCs/>
                <w:kern w:val="0"/>
                <w:szCs w:val="21"/>
              </w:rPr>
              <w:t>灵活运用案例分析、分组讨论、角色扮演、启发引导等教学方法</w:t>
            </w:r>
            <w:r>
              <w:rPr>
                <w:rFonts w:hint="eastAsia" w:ascii="Times New Roman" w:hAnsi="Times New Roman" w:eastAsia="宋体"/>
                <w:szCs w:val="21"/>
              </w:rPr>
              <w:t>突出提出问题、分析问题、解决问题的学生能力训练；</w:t>
            </w:r>
          </w:p>
          <w:p>
            <w:pPr>
              <w:rPr>
                <w:rFonts w:ascii="Times New Roman" w:hAnsi="Times New Roman" w:eastAsia="宋体"/>
                <w:szCs w:val="21"/>
              </w:rPr>
            </w:pPr>
            <w:r>
              <w:rPr>
                <w:rFonts w:hint="eastAsia" w:ascii="Times New Roman" w:hAnsi="Times New Roman" w:eastAsia="宋体"/>
                <w:szCs w:val="21"/>
              </w:rPr>
              <w:t>2、通过作业、课堂提问等形式养成学生课前预习、课后复习的习惯，</w:t>
            </w:r>
            <w:r>
              <w:rPr>
                <w:rFonts w:hint="eastAsia" w:ascii="Times New Roman" w:hAnsi="宋体" w:eastAsia="宋体" w:cs="宋体"/>
                <w:spacing w:val="10"/>
                <w:kern w:val="0"/>
                <w:szCs w:val="21"/>
              </w:rPr>
              <w:t>使学生学会利用专业书籍和工具书、制订计划、实施计划、工作过程</w:t>
            </w:r>
            <w:r>
              <w:rPr>
                <w:rFonts w:hint="eastAsia" w:ascii="Times New Roman" w:hAnsi="Times New Roman" w:eastAsia="宋体"/>
                <w:szCs w:val="21"/>
              </w:rPr>
              <w:t>引导学生学会独立学习，获取新知识的能力；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Merge w:val="continue"/>
          </w:tcPr>
          <w:p>
            <w:pPr>
              <w:rPr>
                <w:rFonts w:ascii="Times New Roman" w:hAnsi="Times New Roman" w:eastAsia="宋体"/>
                <w:szCs w:val="24"/>
              </w:rPr>
            </w:pPr>
          </w:p>
        </w:tc>
        <w:tc>
          <w:tcPr>
            <w:tcW w:w="3768" w:type="dxa"/>
            <w:vAlign w:val="center"/>
          </w:tcPr>
          <w:p>
            <w:pPr>
              <w:spacing w:before="36" w:beforeLines="10" w:after="36" w:afterLines="10"/>
              <w:rPr>
                <w:rFonts w:ascii="Times New Roman" w:hAnsi="Times New Roman" w:eastAsia="宋体"/>
                <w:b/>
                <w:kern w:val="0"/>
                <w:szCs w:val="21"/>
              </w:rPr>
            </w:pPr>
            <w:r>
              <w:rPr>
                <w:rFonts w:hint="eastAsia" w:ascii="Times New Roman" w:hAnsi="Times New Roman" w:eastAsia="宋体"/>
                <w:b/>
                <w:kern w:val="0"/>
                <w:szCs w:val="21"/>
              </w:rPr>
              <w:t>8、强调渗透式素质教育。</w:t>
            </w:r>
            <w:r>
              <w:rPr>
                <w:rFonts w:hint="eastAsia" w:ascii="Times New Roman" w:hAnsi="Times New Roman" w:eastAsia="宋体"/>
                <w:kern w:val="0"/>
                <w:szCs w:val="21"/>
              </w:rPr>
              <w:t>将对应企业的管理制度、企业文化引入教学环节，培养学生具有责任心、诚实守信、精益求精的职业品质和团队协作能力、表达与沟通能力及环境适应能力等社会能力。</w:t>
            </w:r>
          </w:p>
        </w:tc>
        <w:tc>
          <w:tcPr>
            <w:tcW w:w="4292" w:type="dxa"/>
            <w:vAlign w:val="center"/>
          </w:tcPr>
          <w:p>
            <w:pPr>
              <w:rPr>
                <w:rFonts w:ascii="Times New Roman" w:hAnsi="Times New Roman" w:eastAsia="宋体"/>
                <w:color w:val="FF0000"/>
                <w:szCs w:val="21"/>
              </w:rPr>
            </w:pPr>
            <w:r>
              <w:rPr>
                <w:rFonts w:hint="eastAsia" w:ascii="Times New Roman" w:hAnsi="Times New Roman" w:eastAsia="宋体"/>
                <w:szCs w:val="21"/>
              </w:rPr>
              <w:t>1</w:t>
            </w:r>
            <w:r>
              <w:rPr>
                <w:rFonts w:hint="eastAsia" w:ascii="Times New Roman" w:hAnsi="Times New Roman" w:eastAsia="宋体"/>
                <w:color w:val="000000"/>
                <w:szCs w:val="21"/>
              </w:rPr>
              <w:t xml:space="preserve">、采取何种教学手段和方式（列表）能够培养学生企业文化、团队作战和持之以恒的任性； </w:t>
            </w:r>
          </w:p>
          <w:p>
            <w:pPr>
              <w:rPr>
                <w:rFonts w:ascii="Times New Roman" w:hAnsi="Times New Roman" w:eastAsia="宋体"/>
                <w:szCs w:val="21"/>
              </w:rPr>
            </w:pPr>
            <w:r>
              <w:rPr>
                <w:rFonts w:hint="eastAsia" w:ascii="Times New Roman" w:hAnsi="Times New Roman" w:eastAsia="宋体"/>
                <w:szCs w:val="21"/>
              </w:rPr>
              <w:t>2、采用分组讨论、企业实地考察等灵活的教学形式，培养学生表达与沟通力及未来工作岗位环境适应等能力培养。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Merge w:val="continue"/>
          </w:tcPr>
          <w:p>
            <w:pPr>
              <w:rPr>
                <w:rFonts w:ascii="Times New Roman" w:hAnsi="Times New Roman" w:eastAsia="宋体"/>
                <w:szCs w:val="24"/>
              </w:rPr>
            </w:pPr>
          </w:p>
        </w:tc>
        <w:tc>
          <w:tcPr>
            <w:tcW w:w="3768" w:type="dxa"/>
            <w:vAlign w:val="center"/>
          </w:tcPr>
          <w:p>
            <w:pPr>
              <w:spacing w:before="36" w:beforeLines="10" w:after="36" w:afterLines="10"/>
              <w:rPr>
                <w:rFonts w:ascii="宋体" w:hAnsi="宋体" w:eastAsia="宋体" w:cs="宋体"/>
                <w:kern w:val="0"/>
                <w:szCs w:val="21"/>
              </w:rPr>
            </w:pPr>
            <w:r>
              <w:rPr>
                <w:rFonts w:hint="eastAsia" w:ascii="Times New Roman" w:hAnsi="Times New Roman" w:eastAsia="宋体"/>
                <w:b/>
                <w:kern w:val="0"/>
                <w:szCs w:val="21"/>
              </w:rPr>
              <w:t>9</w:t>
            </w:r>
            <w:r>
              <w:rPr>
                <w:rFonts w:hint="eastAsia" w:ascii="Times New Roman" w:hAnsi="宋体" w:eastAsia="宋体" w:cs="宋体"/>
                <w:b/>
                <w:kern w:val="0"/>
                <w:szCs w:val="21"/>
              </w:rPr>
              <w:t>、教学手段应用。</w:t>
            </w:r>
            <w:r>
              <w:rPr>
                <w:rFonts w:hint="eastAsia" w:ascii="Times New Roman" w:hAnsi="宋体" w:eastAsia="宋体" w:cs="宋体"/>
                <w:bCs/>
                <w:kern w:val="0"/>
                <w:szCs w:val="21"/>
              </w:rPr>
              <w:t>编写或选用特色教材，课件、案例、学习指南等教学资料齐全；</w:t>
            </w:r>
            <w:r>
              <w:rPr>
                <w:rFonts w:hint="eastAsia" w:ascii="Times New Roman" w:hAnsi="宋体" w:eastAsia="宋体" w:cs="宋体"/>
                <w:kern w:val="0"/>
                <w:szCs w:val="21"/>
              </w:rPr>
              <w:t>运用现代教育技术建立仿真教学环境，</w:t>
            </w:r>
            <w:r>
              <w:rPr>
                <w:rFonts w:hint="eastAsia" w:ascii="Times New Roman" w:hAnsi="宋体" w:eastAsia="宋体" w:cs="宋体"/>
                <w:spacing w:val="10"/>
                <w:kern w:val="0"/>
                <w:szCs w:val="21"/>
              </w:rPr>
              <w:t>充分利用校内外实验实训条件，开展</w:t>
            </w:r>
            <w:r>
              <w:rPr>
                <w:rFonts w:hint="eastAsia" w:ascii="Times New Roman" w:hAnsi="宋体" w:eastAsia="宋体" w:cs="宋体"/>
                <w:bCs/>
                <w:kern w:val="0"/>
                <w:szCs w:val="21"/>
              </w:rPr>
              <w:t>生产性实训或仿真实训，</w:t>
            </w:r>
            <w:r>
              <w:rPr>
                <w:rFonts w:hint="eastAsia" w:ascii="Times New Roman" w:hAnsi="宋体" w:eastAsia="宋体" w:cs="宋体"/>
                <w:kern w:val="0"/>
                <w:szCs w:val="21"/>
              </w:rPr>
              <w:t>提高教学质量和效率。</w:t>
            </w:r>
          </w:p>
        </w:tc>
        <w:tc>
          <w:tcPr>
            <w:tcW w:w="4292" w:type="dxa"/>
            <w:vAlign w:val="center"/>
          </w:tcPr>
          <w:p>
            <w:pPr>
              <w:rPr>
                <w:rFonts w:ascii="Times New Roman" w:hAnsi="Times New Roman" w:eastAsia="宋体"/>
                <w:color w:val="000000"/>
                <w:szCs w:val="21"/>
              </w:rPr>
            </w:pPr>
            <w:r>
              <w:rPr>
                <w:rFonts w:hint="eastAsia" w:ascii="Times New Roman" w:hAnsi="Times New Roman" w:eastAsia="宋体"/>
                <w:szCs w:val="21"/>
              </w:rPr>
              <w:t>1、教学方式和平</w:t>
            </w:r>
            <w:r>
              <w:rPr>
                <w:rFonts w:hint="eastAsia" w:ascii="Times New Roman" w:hAnsi="Times New Roman" w:eastAsia="宋体"/>
                <w:color w:val="000000"/>
                <w:szCs w:val="21"/>
              </w:rPr>
              <w:t>台：</w:t>
            </w:r>
            <w:r>
              <w:rPr>
                <w:rFonts w:hint="eastAsia" w:ascii="Times New Roman" w:hAnsi="宋体" w:eastAsia="宋体" w:cs="宋体"/>
                <w:bCs/>
                <w:color w:val="000000"/>
                <w:kern w:val="0"/>
                <w:szCs w:val="21"/>
              </w:rPr>
              <w:t>特色教材，课件、案例、实训或仿真实训及合作单位</w:t>
            </w:r>
            <w:r>
              <w:rPr>
                <w:rFonts w:hint="eastAsia" w:ascii="Times New Roman" w:hAnsi="Times New Roman" w:eastAsia="宋体"/>
                <w:color w:val="000000"/>
                <w:szCs w:val="21"/>
              </w:rPr>
              <w:t>（列表）</w:t>
            </w:r>
          </w:p>
          <w:p>
            <w:pPr>
              <w:rPr>
                <w:rFonts w:ascii="Times New Roman" w:hAnsi="Times New Roman" w:eastAsia="宋体"/>
                <w:szCs w:val="21"/>
              </w:rPr>
            </w:pPr>
            <w:r>
              <w:rPr>
                <w:rFonts w:hint="eastAsia" w:ascii="Times New Roman" w:hAnsi="Times New Roman" w:eastAsia="宋体"/>
                <w:szCs w:val="21"/>
              </w:rPr>
              <w:t>2、能根据不同课程要求，合理利用现代教育技术和仿真软件，增加学习的信息量以及提高学习兴趣和培养学生思维；</w:t>
            </w:r>
          </w:p>
          <w:p>
            <w:pP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Merge w:val="continue"/>
          </w:tcPr>
          <w:p>
            <w:pPr>
              <w:rPr>
                <w:rFonts w:ascii="Times New Roman" w:hAnsi="Times New Roman" w:eastAsia="宋体"/>
                <w:szCs w:val="24"/>
              </w:rPr>
            </w:pPr>
          </w:p>
        </w:tc>
        <w:tc>
          <w:tcPr>
            <w:tcW w:w="3768" w:type="dxa"/>
            <w:vAlign w:val="center"/>
          </w:tcPr>
          <w:p>
            <w:pPr>
              <w:spacing w:before="36" w:beforeLines="10" w:after="36" w:afterLines="10"/>
              <w:rPr>
                <w:rFonts w:ascii="宋体" w:hAnsi="宋体" w:eastAsia="宋体" w:cs="宋体"/>
                <w:kern w:val="0"/>
                <w:szCs w:val="21"/>
              </w:rPr>
            </w:pPr>
            <w:r>
              <w:rPr>
                <w:rFonts w:hint="eastAsia" w:ascii="Times New Roman" w:hAnsi="Times New Roman" w:eastAsia="宋体"/>
                <w:b/>
                <w:kern w:val="0"/>
                <w:szCs w:val="21"/>
              </w:rPr>
              <w:t>10</w:t>
            </w:r>
            <w:r>
              <w:rPr>
                <w:rFonts w:hint="eastAsia" w:ascii="Times New Roman" w:hAnsi="宋体" w:eastAsia="宋体" w:cs="宋体"/>
                <w:b/>
                <w:kern w:val="0"/>
                <w:szCs w:val="21"/>
              </w:rPr>
              <w:t>、考核环节设计。</w:t>
            </w:r>
            <w:r>
              <w:rPr>
                <w:rFonts w:hint="eastAsia" w:ascii="Times New Roman" w:hAnsi="宋体" w:eastAsia="宋体" w:cs="宋体"/>
                <w:spacing w:val="10"/>
                <w:kern w:val="0"/>
                <w:szCs w:val="21"/>
              </w:rPr>
              <w:t>确定课程考核项目和</w:t>
            </w:r>
            <w:r>
              <w:rPr>
                <w:rFonts w:hint="eastAsia" w:ascii="Times New Roman" w:hAnsi="宋体" w:eastAsia="宋体" w:cs="宋体"/>
                <w:kern w:val="0"/>
                <w:szCs w:val="21"/>
              </w:rPr>
              <w:t>考核方式，以及学生应该达到的水平，</w:t>
            </w:r>
            <w:r>
              <w:rPr>
                <w:rFonts w:hint="eastAsia" w:ascii="Times New Roman" w:hAnsi="宋体" w:eastAsia="宋体" w:cs="宋体"/>
                <w:spacing w:val="10"/>
                <w:kern w:val="0"/>
                <w:szCs w:val="21"/>
              </w:rPr>
              <w:t>全面考核学生知识、能力和素质教育。</w:t>
            </w:r>
          </w:p>
        </w:tc>
        <w:tc>
          <w:tcPr>
            <w:tcW w:w="4292" w:type="dxa"/>
            <w:vAlign w:val="center"/>
          </w:tcPr>
          <w:p>
            <w:pPr>
              <w:rPr>
                <w:rFonts w:ascii="Times New Roman" w:hAnsi="Times New Roman" w:eastAsia="宋体"/>
                <w:szCs w:val="21"/>
              </w:rPr>
            </w:pPr>
            <w:r>
              <w:rPr>
                <w:rFonts w:hint="eastAsia" w:ascii="Times New Roman" w:hAnsi="Times New Roman" w:eastAsia="宋体"/>
                <w:szCs w:val="21"/>
              </w:rPr>
              <w:t>1、能够紧密结合岗位要求和教学目标，确定课程考核内容，并注重能力水平考核；</w:t>
            </w:r>
          </w:p>
          <w:p>
            <w:pPr>
              <w:rPr>
                <w:rFonts w:ascii="Times New Roman" w:hAnsi="Times New Roman" w:eastAsia="宋体"/>
                <w:szCs w:val="21"/>
              </w:rPr>
            </w:pPr>
            <w:r>
              <w:rPr>
                <w:rFonts w:hint="eastAsia" w:ascii="Times New Roman" w:hAnsi="Times New Roman" w:eastAsia="宋体"/>
                <w:szCs w:val="21"/>
              </w:rPr>
              <w:t>2、参考实际工作中对知识、能力、素质的要求及标准，设计考核形式和评价标准；</w:t>
            </w:r>
          </w:p>
          <w:p>
            <w:pPr>
              <w:rPr>
                <w:rFonts w:ascii="Times New Roman" w:hAnsi="Times New Roman" w:eastAsia="宋体"/>
                <w:szCs w:val="21"/>
              </w:rPr>
            </w:pPr>
            <w:r>
              <w:rPr>
                <w:rFonts w:hint="eastAsia" w:ascii="Times New Roman" w:hAnsi="Times New Roman" w:eastAsia="宋体"/>
                <w:szCs w:val="21"/>
              </w:rPr>
              <w:t>3、阐述所授课程学生实际考核结果。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 w:type="dxa"/>
            <w:vAlign w:val="center"/>
          </w:tcPr>
          <w:p>
            <w:pPr>
              <w:jc w:val="center"/>
              <w:rPr>
                <w:rFonts w:ascii="宋体" w:hAnsi="宋体" w:eastAsia="宋体" w:cs="宋体"/>
                <w:b/>
                <w:kern w:val="0"/>
                <w:szCs w:val="21"/>
              </w:rPr>
            </w:pPr>
            <w:r>
              <w:rPr>
                <w:rFonts w:hint="eastAsia" w:ascii="Times New Roman" w:hAnsi="Times New Roman" w:eastAsia="宋体" w:cs="宋体"/>
                <w:b/>
                <w:kern w:val="0"/>
                <w:szCs w:val="21"/>
              </w:rPr>
              <w:t>总体</w:t>
            </w:r>
          </w:p>
          <w:p>
            <w:pPr>
              <w:jc w:val="center"/>
              <w:rPr>
                <w:rFonts w:ascii="宋体" w:hAnsi="宋体" w:eastAsia="宋体" w:cs="宋体"/>
                <w:b/>
                <w:kern w:val="0"/>
                <w:szCs w:val="21"/>
              </w:rPr>
            </w:pPr>
            <w:r>
              <w:rPr>
                <w:rFonts w:hint="eastAsia" w:ascii="Times New Roman" w:hAnsi="Times New Roman" w:eastAsia="宋体" w:cs="宋体"/>
                <w:b/>
                <w:kern w:val="0"/>
                <w:szCs w:val="21"/>
              </w:rPr>
              <w:t>印象</w:t>
            </w:r>
          </w:p>
          <w:p>
            <w:pPr>
              <w:jc w:val="center"/>
              <w:rPr>
                <w:rFonts w:ascii="宋体" w:hAnsi="宋体" w:eastAsia="宋体" w:cs="宋体"/>
                <w:kern w:val="0"/>
                <w:szCs w:val="21"/>
              </w:rPr>
            </w:pPr>
            <w:r>
              <w:rPr>
                <w:rFonts w:ascii="Times New Roman" w:hAnsi="Times New Roman" w:eastAsia="宋体"/>
                <w:b/>
                <w:kern w:val="0"/>
                <w:szCs w:val="21"/>
              </w:rPr>
              <w:t>10</w:t>
            </w:r>
            <w:r>
              <w:rPr>
                <w:rFonts w:hint="eastAsia" w:ascii="Times New Roman" w:hAnsi="Times New Roman" w:eastAsia="宋体" w:cs="宋体"/>
                <w:b/>
                <w:kern w:val="0"/>
                <w:szCs w:val="21"/>
              </w:rPr>
              <w:t>分</w:t>
            </w:r>
          </w:p>
        </w:tc>
        <w:tc>
          <w:tcPr>
            <w:tcW w:w="3768" w:type="dxa"/>
            <w:vAlign w:val="center"/>
          </w:tcPr>
          <w:p>
            <w:pPr>
              <w:spacing w:before="36" w:beforeLines="10" w:after="36" w:afterLines="10"/>
              <w:rPr>
                <w:rFonts w:ascii="宋体" w:hAnsi="宋体" w:eastAsia="宋体" w:cs="宋体"/>
                <w:b/>
                <w:kern w:val="0"/>
                <w:szCs w:val="21"/>
              </w:rPr>
            </w:pPr>
            <w:r>
              <w:rPr>
                <w:rFonts w:ascii="Times New Roman" w:hAnsi="Times New Roman" w:eastAsia="宋体"/>
                <w:b/>
                <w:kern w:val="0"/>
                <w:szCs w:val="21"/>
              </w:rPr>
              <w:t>1</w:t>
            </w:r>
            <w:r>
              <w:rPr>
                <w:rFonts w:hint="eastAsia" w:ascii="Times New Roman" w:hAnsi="Times New Roman" w:eastAsia="宋体"/>
                <w:b/>
                <w:kern w:val="0"/>
                <w:szCs w:val="21"/>
              </w:rPr>
              <w:t>1</w:t>
            </w:r>
            <w:r>
              <w:rPr>
                <w:rFonts w:hint="eastAsia" w:ascii="Times New Roman" w:hAnsi="Times New Roman" w:eastAsia="宋体" w:cs="宋体"/>
                <w:b/>
                <w:kern w:val="0"/>
                <w:szCs w:val="21"/>
              </w:rPr>
              <w:t>、</w:t>
            </w:r>
            <w:r>
              <w:rPr>
                <w:rFonts w:hint="eastAsia" w:ascii="Times New Roman" w:hAnsi="Times New Roman" w:eastAsia="宋体" w:cs="宋体"/>
                <w:kern w:val="0"/>
                <w:szCs w:val="21"/>
              </w:rPr>
              <w:t>说课思路清楚、逻辑严密，内容符合指标体系要求，有创新意识；语言表达流畅，仪容仪态表现大方得体，感染力强；</w:t>
            </w:r>
            <w:r>
              <w:rPr>
                <w:rFonts w:ascii="Times New Roman" w:hAnsi="Times New Roman" w:eastAsia="宋体"/>
                <w:kern w:val="0"/>
                <w:szCs w:val="21"/>
              </w:rPr>
              <w:t>PPT</w:t>
            </w:r>
            <w:r>
              <w:rPr>
                <w:rFonts w:hint="eastAsia" w:ascii="Times New Roman" w:hAnsi="Times New Roman" w:eastAsia="宋体" w:cs="宋体"/>
                <w:kern w:val="0"/>
                <w:szCs w:val="21"/>
              </w:rPr>
              <w:t>展示效果好，时间控制在</w:t>
            </w:r>
            <w:r>
              <w:rPr>
                <w:rFonts w:ascii="Times New Roman" w:hAnsi="Times New Roman" w:eastAsia="宋体"/>
                <w:kern w:val="0"/>
                <w:szCs w:val="21"/>
              </w:rPr>
              <w:t>1</w:t>
            </w:r>
            <w:r>
              <w:rPr>
                <w:rFonts w:hint="eastAsia" w:ascii="Times New Roman" w:hAnsi="Times New Roman" w:eastAsia="宋体"/>
                <w:kern w:val="0"/>
                <w:szCs w:val="21"/>
              </w:rPr>
              <w:t>5</w:t>
            </w:r>
            <w:r>
              <w:rPr>
                <w:rFonts w:hint="eastAsia" w:ascii="Times New Roman" w:hAnsi="Times New Roman" w:eastAsia="宋体" w:cs="宋体"/>
                <w:kern w:val="0"/>
                <w:szCs w:val="21"/>
              </w:rPr>
              <w:t>分钟以内。</w:t>
            </w:r>
          </w:p>
        </w:tc>
        <w:tc>
          <w:tcPr>
            <w:tcW w:w="4292" w:type="dxa"/>
            <w:vAlign w:val="center"/>
          </w:tcPr>
          <w:p>
            <w:pPr>
              <w:rPr>
                <w:rFonts w:ascii="Times New Roman" w:hAnsi="Times New Roman" w:eastAsia="宋体"/>
                <w:sz w:val="24"/>
                <w:szCs w:val="24"/>
              </w:rPr>
            </w:pPr>
          </w:p>
        </w:tc>
      </w:tr>
    </w:tbl>
    <w:p>
      <w:pPr>
        <w:pStyle w:val="16"/>
        <w:adjustRightInd w:val="0"/>
        <w:snapToGrid w:val="0"/>
        <w:spacing w:line="360" w:lineRule="auto"/>
        <w:ind w:firstLine="0" w:firstLineChars="0"/>
        <w:rPr>
          <w:rFonts w:ascii="宋体" w:hAnsi="宋体" w:eastAsia="宋体"/>
          <w:sz w:val="24"/>
          <w:szCs w:val="24"/>
        </w:rPr>
      </w:pPr>
    </w:p>
    <w:p>
      <w:pPr>
        <w:pStyle w:val="16"/>
        <w:adjustRightInd w:val="0"/>
        <w:snapToGrid w:val="0"/>
        <w:spacing w:line="360" w:lineRule="auto"/>
        <w:ind w:firstLine="0" w:firstLineChars="0"/>
        <w:rPr>
          <w:rFonts w:ascii="宋体" w:hAnsi="宋体" w:eastAsia="宋体"/>
          <w:sz w:val="24"/>
          <w:szCs w:val="24"/>
        </w:rPr>
      </w:pPr>
    </w:p>
    <w:p>
      <w:pPr>
        <w:pStyle w:val="16"/>
        <w:adjustRightInd w:val="0"/>
        <w:snapToGrid w:val="0"/>
        <w:spacing w:line="360" w:lineRule="auto"/>
        <w:ind w:firstLine="0" w:firstLineChars="0"/>
        <w:rPr>
          <w:rFonts w:ascii="宋体" w:hAnsi="宋体" w:eastAsia="宋体"/>
          <w:sz w:val="24"/>
          <w:szCs w:val="24"/>
        </w:rPr>
      </w:pPr>
    </w:p>
    <w:p>
      <w:pPr>
        <w:pStyle w:val="12"/>
        <w:spacing w:line="400" w:lineRule="exact"/>
        <w:rPr>
          <w:rFonts w:hint="eastAsia" w:asciiTheme="minorEastAsia" w:hAnsiTheme="minorEastAsia" w:eastAsiaTheme="minorEastAsia"/>
          <w:color w:val="000000" w:themeColor="text1"/>
          <w:sz w:val="24"/>
          <w:szCs w:val="24"/>
          <w14:textFill>
            <w14:solidFill>
              <w14:schemeClr w14:val="tx1"/>
            </w14:solidFill>
          </w14:textFill>
        </w:rPr>
      </w:pPr>
    </w:p>
    <w:sectPr>
      <w:footerReference r:id="rId3" w:type="default"/>
      <w:pgSz w:w="11906" w:h="16838"/>
      <w:pgMar w:top="1134" w:right="1701" w:bottom="1134" w:left="1701" w:header="709" w:footer="709"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Lucida Sans Unicode">
    <w:panose1 w:val="020B0602030504020204"/>
    <w:charset w:val="00"/>
    <w:family w:val="swiss"/>
    <w:pitch w:val="default"/>
    <w:sig w:usb0="80001AFF" w:usb1="0000396B" w:usb2="00000000" w:usb3="00000000" w:csb0="200000BF" w:csb1="D7F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64940"/>
      <w:docPartObj>
        <w:docPartGallery w:val="autotext"/>
      </w:docPartObj>
    </w:sdtPr>
    <w:sdtEndPr>
      <w:rPr>
        <w:rFonts w:asciiTheme="minorEastAsia" w:hAnsiTheme="minorEastAsia" w:eastAsiaTheme="minorEastAsia"/>
      </w:rPr>
    </w:sdtEndPr>
    <w:sdtContent>
      <w:sdt>
        <w:sdtPr>
          <w:id w:val="171357217"/>
          <w:docPartObj>
            <w:docPartGallery w:val="autotext"/>
          </w:docPartObj>
        </w:sdtPr>
        <w:sdtEndPr>
          <w:rPr>
            <w:rFonts w:asciiTheme="minorEastAsia" w:hAnsiTheme="minorEastAsia" w:eastAsiaTheme="minorEastAsia"/>
          </w:rPr>
        </w:sdtEndPr>
        <w:sdtContent>
          <w:p>
            <w:pPr>
              <w:pStyle w:val="3"/>
              <w:jc w:val="center"/>
              <w:rPr>
                <w:rFonts w:asciiTheme="minorEastAsia" w:hAnsiTheme="minorEastAsia" w:eastAsiaTheme="minorEastAsia"/>
              </w:rPr>
            </w:pPr>
            <w:r>
              <w:rPr>
                <w:lang w:val="zh-CN"/>
              </w:rPr>
              <w:t xml:space="preserve"> </w:t>
            </w:r>
            <w:r>
              <w:rPr>
                <w:rFonts w:asciiTheme="minorEastAsia" w:hAnsiTheme="minorEastAsia" w:eastAsiaTheme="minorEastAsia"/>
                <w:b/>
                <w:sz w:val="24"/>
                <w:szCs w:val="24"/>
              </w:rPr>
              <w:fldChar w:fldCharType="begin"/>
            </w:r>
            <w:r>
              <w:rPr>
                <w:rFonts w:asciiTheme="minorEastAsia" w:hAnsiTheme="minorEastAsia" w:eastAsiaTheme="minorEastAsia"/>
                <w:b/>
              </w:rPr>
              <w:instrText xml:space="preserve">PAGE</w:instrText>
            </w:r>
            <w:r>
              <w:rPr>
                <w:rFonts w:asciiTheme="minorEastAsia" w:hAnsiTheme="minorEastAsia" w:eastAsiaTheme="minorEastAsia"/>
                <w:b/>
                <w:sz w:val="24"/>
                <w:szCs w:val="24"/>
              </w:rPr>
              <w:fldChar w:fldCharType="separate"/>
            </w:r>
            <w:r>
              <w:rPr>
                <w:rFonts w:asciiTheme="minorEastAsia" w:hAnsiTheme="minorEastAsia" w:eastAsiaTheme="minorEastAsia"/>
                <w:b/>
              </w:rPr>
              <w:t>4</w:t>
            </w:r>
            <w:r>
              <w:rPr>
                <w:rFonts w:asciiTheme="minorEastAsia" w:hAnsiTheme="minorEastAsia" w:eastAsiaTheme="minorEastAsia"/>
                <w:b/>
                <w:sz w:val="24"/>
                <w:szCs w:val="24"/>
              </w:rPr>
              <w:fldChar w:fldCharType="end"/>
            </w:r>
            <w:r>
              <w:rPr>
                <w:rFonts w:asciiTheme="minorEastAsia" w:hAnsiTheme="minorEastAsia" w:eastAsiaTheme="minorEastAsia"/>
                <w:lang w:val="zh-CN"/>
              </w:rPr>
              <w:t xml:space="preserve"> / </w:t>
            </w:r>
            <w:r>
              <w:rPr>
                <w:rFonts w:asciiTheme="minorEastAsia" w:hAnsiTheme="minorEastAsia" w:eastAsiaTheme="minorEastAsia"/>
                <w:b/>
                <w:sz w:val="24"/>
                <w:szCs w:val="24"/>
              </w:rPr>
              <w:fldChar w:fldCharType="begin"/>
            </w:r>
            <w:r>
              <w:rPr>
                <w:rFonts w:asciiTheme="minorEastAsia" w:hAnsiTheme="minorEastAsia" w:eastAsiaTheme="minorEastAsia"/>
                <w:b/>
              </w:rPr>
              <w:instrText xml:space="preserve">NUMPAGES</w:instrText>
            </w:r>
            <w:r>
              <w:rPr>
                <w:rFonts w:asciiTheme="minorEastAsia" w:hAnsiTheme="minorEastAsia" w:eastAsiaTheme="minorEastAsia"/>
                <w:b/>
                <w:sz w:val="24"/>
                <w:szCs w:val="24"/>
              </w:rPr>
              <w:fldChar w:fldCharType="separate"/>
            </w:r>
            <w:r>
              <w:rPr>
                <w:rFonts w:asciiTheme="minorEastAsia" w:hAnsiTheme="minorEastAsia" w:eastAsiaTheme="minorEastAsia"/>
                <w:b/>
              </w:rPr>
              <w:t>4</w:t>
            </w:r>
            <w:r>
              <w:rPr>
                <w:rFonts w:asciiTheme="minorEastAsia" w:hAnsiTheme="minorEastAsia" w:eastAsiaTheme="minorEastAsia"/>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8F4"/>
    <w:rsid w:val="00015B92"/>
    <w:rsid w:val="00035397"/>
    <w:rsid w:val="00047FE1"/>
    <w:rsid w:val="0005348E"/>
    <w:rsid w:val="00056D44"/>
    <w:rsid w:val="0007042E"/>
    <w:rsid w:val="00071948"/>
    <w:rsid w:val="00094930"/>
    <w:rsid w:val="00095F71"/>
    <w:rsid w:val="00096297"/>
    <w:rsid w:val="00097E9F"/>
    <w:rsid w:val="000B7EEB"/>
    <w:rsid w:val="000D6039"/>
    <w:rsid w:val="000F399A"/>
    <w:rsid w:val="000F4EC2"/>
    <w:rsid w:val="00105301"/>
    <w:rsid w:val="0010571F"/>
    <w:rsid w:val="00105730"/>
    <w:rsid w:val="00123CE8"/>
    <w:rsid w:val="00131BD7"/>
    <w:rsid w:val="00133F64"/>
    <w:rsid w:val="00137A5C"/>
    <w:rsid w:val="00142DF9"/>
    <w:rsid w:val="001447D7"/>
    <w:rsid w:val="001454FD"/>
    <w:rsid w:val="00147BC1"/>
    <w:rsid w:val="00156134"/>
    <w:rsid w:val="001621C3"/>
    <w:rsid w:val="00173998"/>
    <w:rsid w:val="00175DD9"/>
    <w:rsid w:val="00180870"/>
    <w:rsid w:val="00184780"/>
    <w:rsid w:val="001A640E"/>
    <w:rsid w:val="001B07F2"/>
    <w:rsid w:val="001B0A59"/>
    <w:rsid w:val="001C0F52"/>
    <w:rsid w:val="00216A0C"/>
    <w:rsid w:val="00221F05"/>
    <w:rsid w:val="002260E5"/>
    <w:rsid w:val="00235CA8"/>
    <w:rsid w:val="00245F83"/>
    <w:rsid w:val="0026731C"/>
    <w:rsid w:val="00270115"/>
    <w:rsid w:val="00273598"/>
    <w:rsid w:val="002858AF"/>
    <w:rsid w:val="00290DA5"/>
    <w:rsid w:val="0029205D"/>
    <w:rsid w:val="00292888"/>
    <w:rsid w:val="002A677A"/>
    <w:rsid w:val="002B2499"/>
    <w:rsid w:val="002D2CDD"/>
    <w:rsid w:val="002D5E3A"/>
    <w:rsid w:val="002F6F17"/>
    <w:rsid w:val="002F78DF"/>
    <w:rsid w:val="00301386"/>
    <w:rsid w:val="00314D32"/>
    <w:rsid w:val="00317046"/>
    <w:rsid w:val="00323B43"/>
    <w:rsid w:val="00335EBF"/>
    <w:rsid w:val="00337811"/>
    <w:rsid w:val="00337D66"/>
    <w:rsid w:val="00350538"/>
    <w:rsid w:val="00350D7A"/>
    <w:rsid w:val="0035196F"/>
    <w:rsid w:val="003630D7"/>
    <w:rsid w:val="00372B29"/>
    <w:rsid w:val="00376DB4"/>
    <w:rsid w:val="00377E05"/>
    <w:rsid w:val="00380670"/>
    <w:rsid w:val="00381A27"/>
    <w:rsid w:val="00384874"/>
    <w:rsid w:val="00387764"/>
    <w:rsid w:val="00396611"/>
    <w:rsid w:val="00396F06"/>
    <w:rsid w:val="003A1175"/>
    <w:rsid w:val="003C42EE"/>
    <w:rsid w:val="003D0014"/>
    <w:rsid w:val="003D3233"/>
    <w:rsid w:val="003D37D8"/>
    <w:rsid w:val="003E4233"/>
    <w:rsid w:val="003F5783"/>
    <w:rsid w:val="003F7D4A"/>
    <w:rsid w:val="004255FA"/>
    <w:rsid w:val="004358AB"/>
    <w:rsid w:val="0045651D"/>
    <w:rsid w:val="00483952"/>
    <w:rsid w:val="00484E3B"/>
    <w:rsid w:val="00485B8E"/>
    <w:rsid w:val="00495690"/>
    <w:rsid w:val="004A2349"/>
    <w:rsid w:val="004B0B62"/>
    <w:rsid w:val="004C14BE"/>
    <w:rsid w:val="004E6A2A"/>
    <w:rsid w:val="004F0CA2"/>
    <w:rsid w:val="004F11A0"/>
    <w:rsid w:val="004F6C9A"/>
    <w:rsid w:val="00500225"/>
    <w:rsid w:val="00502216"/>
    <w:rsid w:val="00506665"/>
    <w:rsid w:val="00511B08"/>
    <w:rsid w:val="005163A4"/>
    <w:rsid w:val="00516D10"/>
    <w:rsid w:val="00517327"/>
    <w:rsid w:val="00517802"/>
    <w:rsid w:val="00523F2C"/>
    <w:rsid w:val="00527B4B"/>
    <w:rsid w:val="00540292"/>
    <w:rsid w:val="005949D3"/>
    <w:rsid w:val="005A1A9F"/>
    <w:rsid w:val="005C024E"/>
    <w:rsid w:val="005C165A"/>
    <w:rsid w:val="005D1F17"/>
    <w:rsid w:val="005E2FF8"/>
    <w:rsid w:val="005E4E17"/>
    <w:rsid w:val="005E582C"/>
    <w:rsid w:val="00620B43"/>
    <w:rsid w:val="0063124A"/>
    <w:rsid w:val="00640F00"/>
    <w:rsid w:val="006413A7"/>
    <w:rsid w:val="00642C9B"/>
    <w:rsid w:val="00657EE7"/>
    <w:rsid w:val="00672DC9"/>
    <w:rsid w:val="0068189E"/>
    <w:rsid w:val="006B6AC9"/>
    <w:rsid w:val="006C06BC"/>
    <w:rsid w:val="006C1FAC"/>
    <w:rsid w:val="006C27E8"/>
    <w:rsid w:val="006E2AB0"/>
    <w:rsid w:val="006F10B9"/>
    <w:rsid w:val="006F1FB8"/>
    <w:rsid w:val="0070063B"/>
    <w:rsid w:val="00711D06"/>
    <w:rsid w:val="00720187"/>
    <w:rsid w:val="00720407"/>
    <w:rsid w:val="0072754A"/>
    <w:rsid w:val="00731F61"/>
    <w:rsid w:val="00733008"/>
    <w:rsid w:val="007614F8"/>
    <w:rsid w:val="00762EBB"/>
    <w:rsid w:val="00770C15"/>
    <w:rsid w:val="00790DC2"/>
    <w:rsid w:val="007A1379"/>
    <w:rsid w:val="007B288B"/>
    <w:rsid w:val="007B6D37"/>
    <w:rsid w:val="007C3F4F"/>
    <w:rsid w:val="007C483B"/>
    <w:rsid w:val="007D202C"/>
    <w:rsid w:val="007D2A57"/>
    <w:rsid w:val="007D4B28"/>
    <w:rsid w:val="007E63EB"/>
    <w:rsid w:val="00815C13"/>
    <w:rsid w:val="00822DD5"/>
    <w:rsid w:val="00835A71"/>
    <w:rsid w:val="008360D9"/>
    <w:rsid w:val="00847C58"/>
    <w:rsid w:val="008638D5"/>
    <w:rsid w:val="008717DC"/>
    <w:rsid w:val="008756C1"/>
    <w:rsid w:val="0088071D"/>
    <w:rsid w:val="00887FE0"/>
    <w:rsid w:val="00897B1E"/>
    <w:rsid w:val="008A3C6C"/>
    <w:rsid w:val="008B7726"/>
    <w:rsid w:val="008E7CE9"/>
    <w:rsid w:val="00904D64"/>
    <w:rsid w:val="00905C0B"/>
    <w:rsid w:val="0090743D"/>
    <w:rsid w:val="00910953"/>
    <w:rsid w:val="00914DA0"/>
    <w:rsid w:val="009175BD"/>
    <w:rsid w:val="0093398A"/>
    <w:rsid w:val="009548A0"/>
    <w:rsid w:val="00966CFE"/>
    <w:rsid w:val="00980A95"/>
    <w:rsid w:val="0098381D"/>
    <w:rsid w:val="009A7A3D"/>
    <w:rsid w:val="009B26F9"/>
    <w:rsid w:val="009C1B4A"/>
    <w:rsid w:val="009D1C1E"/>
    <w:rsid w:val="009E4376"/>
    <w:rsid w:val="00A0168F"/>
    <w:rsid w:val="00A53FCD"/>
    <w:rsid w:val="00A575CA"/>
    <w:rsid w:val="00A67BA5"/>
    <w:rsid w:val="00A71EFC"/>
    <w:rsid w:val="00A72BF0"/>
    <w:rsid w:val="00A766DE"/>
    <w:rsid w:val="00A865D7"/>
    <w:rsid w:val="00A877C0"/>
    <w:rsid w:val="00A9051A"/>
    <w:rsid w:val="00AD2663"/>
    <w:rsid w:val="00AE1B1D"/>
    <w:rsid w:val="00AF653B"/>
    <w:rsid w:val="00B00854"/>
    <w:rsid w:val="00B23186"/>
    <w:rsid w:val="00B236F9"/>
    <w:rsid w:val="00B2594F"/>
    <w:rsid w:val="00B26533"/>
    <w:rsid w:val="00B302DE"/>
    <w:rsid w:val="00B31E62"/>
    <w:rsid w:val="00B33BD0"/>
    <w:rsid w:val="00B36AFD"/>
    <w:rsid w:val="00B37508"/>
    <w:rsid w:val="00B55C0A"/>
    <w:rsid w:val="00B650F1"/>
    <w:rsid w:val="00B7357B"/>
    <w:rsid w:val="00B82B25"/>
    <w:rsid w:val="00B96C1F"/>
    <w:rsid w:val="00B96C33"/>
    <w:rsid w:val="00BA69CA"/>
    <w:rsid w:val="00BB36FB"/>
    <w:rsid w:val="00BC1BDD"/>
    <w:rsid w:val="00BE08E0"/>
    <w:rsid w:val="00BE122F"/>
    <w:rsid w:val="00BE6157"/>
    <w:rsid w:val="00C012D7"/>
    <w:rsid w:val="00C042CC"/>
    <w:rsid w:val="00C059E1"/>
    <w:rsid w:val="00C275E7"/>
    <w:rsid w:val="00C30F3C"/>
    <w:rsid w:val="00C31439"/>
    <w:rsid w:val="00C46C31"/>
    <w:rsid w:val="00CB2BE8"/>
    <w:rsid w:val="00CC16A0"/>
    <w:rsid w:val="00CC5DA0"/>
    <w:rsid w:val="00CD7256"/>
    <w:rsid w:val="00D01A8A"/>
    <w:rsid w:val="00D21292"/>
    <w:rsid w:val="00D218B3"/>
    <w:rsid w:val="00D268F4"/>
    <w:rsid w:val="00D303BC"/>
    <w:rsid w:val="00D34887"/>
    <w:rsid w:val="00D45D7D"/>
    <w:rsid w:val="00D503BD"/>
    <w:rsid w:val="00D51AA2"/>
    <w:rsid w:val="00D57B97"/>
    <w:rsid w:val="00D62E9A"/>
    <w:rsid w:val="00D750C6"/>
    <w:rsid w:val="00D84C69"/>
    <w:rsid w:val="00DC03B7"/>
    <w:rsid w:val="00DC29E9"/>
    <w:rsid w:val="00DC6545"/>
    <w:rsid w:val="00DC7CB2"/>
    <w:rsid w:val="00E23AE1"/>
    <w:rsid w:val="00E25C0C"/>
    <w:rsid w:val="00E278A1"/>
    <w:rsid w:val="00E27C83"/>
    <w:rsid w:val="00E46909"/>
    <w:rsid w:val="00E50F55"/>
    <w:rsid w:val="00E54F87"/>
    <w:rsid w:val="00E74B6E"/>
    <w:rsid w:val="00E81FB3"/>
    <w:rsid w:val="00E84A5F"/>
    <w:rsid w:val="00E9723E"/>
    <w:rsid w:val="00EA2486"/>
    <w:rsid w:val="00EC1B43"/>
    <w:rsid w:val="00EC7E1C"/>
    <w:rsid w:val="00ED20E7"/>
    <w:rsid w:val="00ED399C"/>
    <w:rsid w:val="00ED409C"/>
    <w:rsid w:val="00EE05EB"/>
    <w:rsid w:val="00EF413B"/>
    <w:rsid w:val="00F02DEC"/>
    <w:rsid w:val="00F13921"/>
    <w:rsid w:val="00F14765"/>
    <w:rsid w:val="00F158FF"/>
    <w:rsid w:val="00F26241"/>
    <w:rsid w:val="00F41C8A"/>
    <w:rsid w:val="00F42606"/>
    <w:rsid w:val="00F56689"/>
    <w:rsid w:val="00F71514"/>
    <w:rsid w:val="00F821FF"/>
    <w:rsid w:val="00F974E2"/>
    <w:rsid w:val="00FA3F8E"/>
    <w:rsid w:val="00FA5579"/>
    <w:rsid w:val="00FA68F9"/>
    <w:rsid w:val="00FA7B66"/>
    <w:rsid w:val="00FD1B25"/>
    <w:rsid w:val="00FD61EF"/>
    <w:rsid w:val="00FF5B66"/>
    <w:rsid w:val="00FF7026"/>
    <w:rsid w:val="04C6036D"/>
    <w:rsid w:val="136C7576"/>
    <w:rsid w:val="306E032C"/>
    <w:rsid w:val="6CD37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_GB2312" w:hAnsi="Calibri"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仿宋_GB2312" w:cs="Times New Roman"/>
      <w:kern w:val="10"/>
      <w:lang w:val="en-US" w:eastAsia="zh-CN" w:bidi="ar-SA"/>
    </w:rPr>
  </w:style>
  <w:style w:type="character" w:default="1" w:styleId="8">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pPr>
      <w:spacing w:after="0"/>
    </w:pPr>
    <w:rPr>
      <w:sz w:val="18"/>
      <w:szCs w:val="18"/>
    </w:rPr>
  </w:style>
  <w:style w:type="paragraph" w:styleId="3">
    <w:name w:val="footer"/>
    <w:basedOn w:val="1"/>
    <w:link w:val="13"/>
    <w:unhideWhenUsed/>
    <w:qFormat/>
    <w:uiPriority w:val="99"/>
    <w:pPr>
      <w:tabs>
        <w:tab w:val="center" w:pos="4153"/>
        <w:tab w:val="right" w:pos="8306"/>
      </w:tabs>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adjustRightInd/>
      <w:snapToGrid/>
      <w:spacing w:before="100" w:beforeAutospacing="1" w:after="100" w:afterAutospacing="1"/>
    </w:pPr>
    <w:rPr>
      <w:rFonts w:ascii="宋体" w:hAnsi="宋体" w:eastAsia="宋体" w:cs="宋体"/>
      <w:kern w:val="0"/>
      <w:sz w:val="24"/>
      <w:szCs w:val="24"/>
    </w:rPr>
  </w:style>
  <w:style w:type="table" w:styleId="7">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character" w:customStyle="1" w:styleId="11">
    <w:name w:val="批注框文本 字符"/>
    <w:basedOn w:val="8"/>
    <w:link w:val="2"/>
    <w:semiHidden/>
    <w:qFormat/>
    <w:uiPriority w:val="99"/>
    <w:rPr>
      <w:rFonts w:ascii="Tahoma" w:hAnsi="Tahoma"/>
      <w:sz w:val="18"/>
      <w:szCs w:val="18"/>
    </w:rPr>
  </w:style>
  <w:style w:type="paragraph" w:styleId="12">
    <w:name w:val="No Spacing"/>
    <w:qFormat/>
    <w:uiPriority w:val="1"/>
    <w:pPr>
      <w:adjustRightInd w:val="0"/>
      <w:snapToGrid w:val="0"/>
      <w:spacing w:after="0" w:line="240" w:lineRule="auto"/>
    </w:pPr>
    <w:rPr>
      <w:rFonts w:ascii="Tahoma" w:hAnsi="Tahoma" w:eastAsia="仿宋_GB2312" w:cs="Times New Roman"/>
      <w:kern w:val="10"/>
      <w:lang w:val="en-US" w:eastAsia="zh-CN" w:bidi="ar-SA"/>
    </w:rPr>
  </w:style>
  <w:style w:type="character" w:customStyle="1" w:styleId="13">
    <w:name w:val="页脚 字符"/>
    <w:basedOn w:val="8"/>
    <w:link w:val="3"/>
    <w:qFormat/>
    <w:uiPriority w:val="99"/>
    <w:rPr>
      <w:rFonts w:ascii="Tahoma" w:hAnsi="Tahoma"/>
      <w:sz w:val="18"/>
      <w:szCs w:val="18"/>
    </w:rPr>
  </w:style>
  <w:style w:type="character" w:customStyle="1" w:styleId="14">
    <w:name w:val="页眉 字符"/>
    <w:basedOn w:val="8"/>
    <w:link w:val="4"/>
    <w:qFormat/>
    <w:uiPriority w:val="99"/>
    <w:rPr>
      <w:rFonts w:ascii="Tahoma" w:hAnsi="Tahoma"/>
      <w:sz w:val="18"/>
      <w:szCs w:val="18"/>
    </w:rPr>
  </w:style>
  <w:style w:type="character" w:customStyle="1" w:styleId="15">
    <w:name w:val="Unresolved Mention"/>
    <w:basedOn w:val="8"/>
    <w:semiHidden/>
    <w:unhideWhenUsed/>
    <w:qFormat/>
    <w:uiPriority w:val="99"/>
    <w:rPr>
      <w:color w:val="605E5C"/>
      <w:shd w:val="clear" w:color="auto" w:fill="E1DFDD"/>
    </w:rPr>
  </w:style>
  <w:style w:type="paragraph" w:styleId="16">
    <w:name w:val="List Paragraph"/>
    <w:basedOn w:val="1"/>
    <w:qFormat/>
    <w:uiPriority w:val="34"/>
    <w:pPr>
      <w:widowControl w:val="0"/>
      <w:adjustRightInd/>
      <w:snapToGrid/>
      <w:spacing w:after="0"/>
      <w:ind w:firstLine="420" w:firstLineChars="200"/>
      <w:jc w:val="both"/>
    </w:pPr>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864</Words>
  <Characters>4927</Characters>
  <Lines>41</Lines>
  <Paragraphs>11</Paragraphs>
  <TotalTime>8</TotalTime>
  <ScaleCrop>false</ScaleCrop>
  <LinksUpToDate>false</LinksUpToDate>
  <CharactersWithSpaces>5780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2020-04-23T10:54:00Z</dcterms:created>
  <dc:creator>xtzj</dc:creator>
  <cp:lastModifiedBy>l</cp:lastModifiedBy>
  <cp:lastPrinted>2020-04-23T13:27:00Z</cp:lastPrinted>
  <dcterms:modified xsi:type="dcterms:W3CDTF">2021-04-08T07:08:04Z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